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B0FC4" w14:textId="77777777" w:rsidR="00F01E8B" w:rsidRPr="00F01E8B" w:rsidRDefault="00F01E8B" w:rsidP="00F01E8B">
      <w:pPr>
        <w:pStyle w:val="Ttulo1"/>
        <w:jc w:val="center"/>
        <w:rPr>
          <w:rFonts w:ascii="Arial" w:hAnsi="Arial" w:cs="Arial"/>
          <w:b/>
          <w:color w:val="000000" w:themeColor="text1"/>
          <w:sz w:val="2"/>
          <w:szCs w:val="22"/>
        </w:rPr>
      </w:pPr>
    </w:p>
    <w:p w14:paraId="65F6C32B" w14:textId="4ACF4872" w:rsidR="005117FE" w:rsidRPr="007F1D55" w:rsidRDefault="00E55825" w:rsidP="00F01E8B">
      <w:pPr>
        <w:pStyle w:val="Ttulo1"/>
        <w:jc w:val="center"/>
        <w:rPr>
          <w:rFonts w:ascii="Arial" w:hAnsi="Arial" w:cs="Arial"/>
          <w:b/>
          <w:color w:val="000000" w:themeColor="text1"/>
          <w:sz w:val="28"/>
          <w:szCs w:val="22"/>
        </w:rPr>
      </w:pPr>
      <w:r w:rsidRPr="007F1D55">
        <w:rPr>
          <w:rFonts w:ascii="Arial" w:hAnsi="Arial" w:cs="Arial"/>
          <w:b/>
          <w:color w:val="000000" w:themeColor="text1"/>
          <w:sz w:val="28"/>
          <w:szCs w:val="22"/>
        </w:rPr>
        <w:t xml:space="preserve">Llamamos a la Secretaría de Educación Pública a proteger a la infancia de la </w:t>
      </w:r>
      <w:r w:rsidR="00C0509A" w:rsidRPr="007F1D55">
        <w:rPr>
          <w:rFonts w:ascii="Arial" w:hAnsi="Arial" w:cs="Arial"/>
          <w:b/>
          <w:color w:val="000000" w:themeColor="text1"/>
          <w:sz w:val="28"/>
          <w:szCs w:val="22"/>
        </w:rPr>
        <w:t>comercialización en las plataformas e</w:t>
      </w:r>
      <w:r w:rsidR="00A5085C" w:rsidRPr="007F1D55">
        <w:rPr>
          <w:rFonts w:ascii="Arial" w:hAnsi="Arial" w:cs="Arial"/>
          <w:b/>
          <w:color w:val="000000" w:themeColor="text1"/>
          <w:sz w:val="28"/>
          <w:szCs w:val="22"/>
        </w:rPr>
        <w:t>ducativas</w:t>
      </w:r>
      <w:r w:rsidR="005117FE" w:rsidRPr="007F1D55">
        <w:rPr>
          <w:rFonts w:ascii="Arial" w:hAnsi="Arial" w:cs="Arial"/>
          <w:b/>
          <w:color w:val="000000" w:themeColor="text1"/>
          <w:sz w:val="28"/>
          <w:szCs w:val="22"/>
        </w:rPr>
        <w:t xml:space="preserve"> de </w:t>
      </w:r>
      <w:r w:rsidR="005117FE" w:rsidRPr="007F1D55">
        <w:rPr>
          <w:rFonts w:ascii="Arial" w:hAnsi="Arial" w:cs="Arial"/>
          <w:b/>
          <w:i/>
          <w:color w:val="000000" w:themeColor="text1"/>
          <w:sz w:val="28"/>
          <w:szCs w:val="22"/>
        </w:rPr>
        <w:t>Aprende en Casa</w:t>
      </w:r>
    </w:p>
    <w:p w14:paraId="46AA46A7" w14:textId="77777777" w:rsidR="00E55825" w:rsidRPr="00F01E8B" w:rsidRDefault="00E55825" w:rsidP="00A5085C">
      <w:pPr>
        <w:pStyle w:val="Encabezado"/>
        <w:spacing w:after="120"/>
        <w:jc w:val="center"/>
        <w:rPr>
          <w:rFonts w:ascii="Arial" w:eastAsia="Times New Roman" w:hAnsi="Arial" w:cs="Arial"/>
          <w:b/>
          <w:bCs/>
          <w:kern w:val="36"/>
          <w:sz w:val="15"/>
        </w:rPr>
      </w:pPr>
    </w:p>
    <w:p w14:paraId="0D653C14" w14:textId="4AADB156" w:rsidR="005117FE" w:rsidRPr="007F1D55" w:rsidRDefault="00E71A72" w:rsidP="00F01E8B">
      <w:pPr>
        <w:pStyle w:val="Prrafodelista"/>
        <w:numPr>
          <w:ilvl w:val="0"/>
          <w:numId w:val="2"/>
        </w:numPr>
        <w:spacing w:after="120"/>
        <w:ind w:left="567" w:hanging="207"/>
        <w:jc w:val="both"/>
        <w:rPr>
          <w:rFonts w:ascii="Arial" w:eastAsiaTheme="minorHAnsi" w:hAnsi="Arial" w:cs="Arial"/>
          <w:i/>
          <w:sz w:val="21"/>
          <w:szCs w:val="21"/>
          <w:lang w:val="es-MX" w:eastAsia="en-US"/>
        </w:rPr>
      </w:pPr>
      <w:r w:rsidRPr="007F1D55">
        <w:rPr>
          <w:rFonts w:ascii="Arial" w:eastAsiaTheme="minorHAnsi" w:hAnsi="Arial" w:cs="Arial"/>
          <w:i/>
          <w:sz w:val="21"/>
          <w:szCs w:val="21"/>
          <w:lang w:val="es-MX" w:eastAsia="en-US"/>
        </w:rPr>
        <w:t xml:space="preserve">El </w:t>
      </w:r>
      <w:r w:rsidR="00424D40" w:rsidRPr="007F1D55">
        <w:rPr>
          <w:rFonts w:ascii="Arial" w:eastAsiaTheme="minorHAnsi" w:hAnsi="Arial" w:cs="Arial"/>
          <w:i/>
          <w:sz w:val="21"/>
          <w:szCs w:val="21"/>
          <w:lang w:val="es-MX" w:eastAsia="en-US"/>
        </w:rPr>
        <w:t>e</w:t>
      </w:r>
      <w:r w:rsidR="005117FE" w:rsidRPr="007F1D55">
        <w:rPr>
          <w:rFonts w:ascii="Arial" w:eastAsiaTheme="minorHAnsi" w:hAnsi="Arial" w:cs="Arial"/>
          <w:i/>
          <w:sz w:val="21"/>
          <w:szCs w:val="21"/>
          <w:lang w:val="es-MX" w:eastAsia="en-US"/>
        </w:rPr>
        <w:t>studio exploratorio</w:t>
      </w:r>
      <w:r w:rsidRPr="007F1D55">
        <w:rPr>
          <w:rFonts w:ascii="Arial" w:eastAsiaTheme="minorHAnsi" w:hAnsi="Arial" w:cs="Arial"/>
          <w:i/>
          <w:sz w:val="21"/>
          <w:szCs w:val="21"/>
          <w:lang w:val="es-MX" w:eastAsia="en-US"/>
        </w:rPr>
        <w:t>,</w:t>
      </w:r>
      <w:r w:rsidR="005117FE" w:rsidRPr="007F1D55">
        <w:rPr>
          <w:rFonts w:ascii="Arial" w:eastAsiaTheme="minorHAnsi" w:hAnsi="Arial" w:cs="Arial"/>
          <w:i/>
          <w:sz w:val="21"/>
          <w:szCs w:val="21"/>
          <w:lang w:val="es-MX" w:eastAsia="en-US"/>
        </w:rPr>
        <w:t xml:space="preserve"> basado en </w:t>
      </w:r>
      <w:r w:rsidR="00C0509A" w:rsidRPr="007F1D55">
        <w:rPr>
          <w:rFonts w:ascii="Arial" w:eastAsiaTheme="minorHAnsi" w:hAnsi="Arial" w:cs="Arial"/>
          <w:i/>
          <w:sz w:val="21"/>
          <w:szCs w:val="21"/>
          <w:lang w:val="es-MX" w:eastAsia="en-US"/>
        </w:rPr>
        <w:t xml:space="preserve">un </w:t>
      </w:r>
      <w:r w:rsidR="005117FE" w:rsidRPr="007F1D55">
        <w:rPr>
          <w:rFonts w:ascii="Arial" w:eastAsiaTheme="minorHAnsi" w:hAnsi="Arial" w:cs="Arial"/>
          <w:i/>
          <w:sz w:val="21"/>
          <w:szCs w:val="21"/>
          <w:lang w:val="es-MX" w:eastAsia="en-US"/>
        </w:rPr>
        <w:t>monitoreo publicitario con niñas, niños y adolescentes</w:t>
      </w:r>
      <w:r w:rsidR="00424D40" w:rsidRPr="007F1D55">
        <w:rPr>
          <w:rFonts w:ascii="Arial" w:eastAsiaTheme="minorHAnsi" w:hAnsi="Arial" w:cs="Arial"/>
          <w:i/>
          <w:sz w:val="21"/>
          <w:szCs w:val="21"/>
          <w:lang w:val="es-MX" w:eastAsia="en-US"/>
        </w:rPr>
        <w:t xml:space="preserve"> </w:t>
      </w:r>
      <w:r w:rsidR="00804646" w:rsidRPr="007F1D55">
        <w:rPr>
          <w:rFonts w:ascii="Arial" w:eastAsiaTheme="minorHAnsi" w:hAnsi="Arial" w:cs="Arial"/>
          <w:i/>
          <w:sz w:val="21"/>
          <w:szCs w:val="21"/>
          <w:lang w:val="es-MX" w:eastAsia="en-US"/>
        </w:rPr>
        <w:t>en las plataformas de Aprende en Casa,</w:t>
      </w:r>
      <w:r w:rsidR="00424D40" w:rsidRPr="007F1D55">
        <w:rPr>
          <w:rFonts w:ascii="Arial" w:eastAsiaTheme="minorHAnsi" w:hAnsi="Arial" w:cs="Arial"/>
          <w:i/>
          <w:sz w:val="21"/>
          <w:szCs w:val="21"/>
          <w:lang w:val="es-MX" w:eastAsia="en-US"/>
        </w:rPr>
        <w:t xml:space="preserve">muestra que están expuestos </w:t>
      </w:r>
      <w:r w:rsidR="0020196D" w:rsidRPr="007F1D55">
        <w:rPr>
          <w:rFonts w:ascii="Arial" w:eastAsiaTheme="minorHAnsi" w:hAnsi="Arial" w:cs="Arial"/>
          <w:i/>
          <w:sz w:val="21"/>
          <w:szCs w:val="21"/>
          <w:lang w:val="es-MX" w:eastAsia="en-US"/>
        </w:rPr>
        <w:t>hasta</w:t>
      </w:r>
      <w:r w:rsidR="00424D40" w:rsidRPr="007F1D55">
        <w:rPr>
          <w:rFonts w:ascii="Arial" w:eastAsiaTheme="minorHAnsi" w:hAnsi="Arial" w:cs="Arial"/>
          <w:i/>
          <w:sz w:val="21"/>
          <w:szCs w:val="21"/>
          <w:lang w:val="es-MX" w:eastAsia="en-US"/>
        </w:rPr>
        <w:t xml:space="preserve"> 20 anuncios de comida chatarra y bebidas azucaradas en la jornada escolar. </w:t>
      </w:r>
    </w:p>
    <w:p w14:paraId="7FBE82B6" w14:textId="34170732" w:rsidR="00E55825" w:rsidRPr="007F1D55" w:rsidRDefault="00A73E2D" w:rsidP="00F01E8B">
      <w:pPr>
        <w:pStyle w:val="Prrafodelista"/>
        <w:numPr>
          <w:ilvl w:val="0"/>
          <w:numId w:val="2"/>
        </w:numPr>
        <w:spacing w:after="120"/>
        <w:ind w:left="567" w:hanging="207"/>
        <w:jc w:val="both"/>
        <w:rPr>
          <w:rFonts w:ascii="Arial" w:eastAsiaTheme="minorHAnsi" w:hAnsi="Arial" w:cs="Arial"/>
          <w:i/>
          <w:sz w:val="21"/>
          <w:szCs w:val="21"/>
          <w:lang w:val="es-MX" w:eastAsia="en-US"/>
        </w:rPr>
      </w:pPr>
      <w:r w:rsidRPr="007F1D55">
        <w:rPr>
          <w:rFonts w:ascii="Arial" w:hAnsi="Arial" w:cs="Arial"/>
          <w:i/>
          <w:sz w:val="21"/>
          <w:szCs w:val="21"/>
        </w:rPr>
        <w:t>Estos resultados muestran una violación a sus derechos a la salud, alimentación y educación, al estar prohibida por Ley la</w:t>
      </w:r>
      <w:r w:rsidR="00E71A72" w:rsidRPr="007F1D55">
        <w:rPr>
          <w:rFonts w:ascii="Arial" w:hAnsi="Arial" w:cs="Arial"/>
          <w:i/>
          <w:sz w:val="21"/>
          <w:szCs w:val="21"/>
        </w:rPr>
        <w:t xml:space="preserve"> publicidad de alimentos y bebidas </w:t>
      </w:r>
      <w:r w:rsidRPr="007F1D55">
        <w:rPr>
          <w:rFonts w:ascii="Arial" w:hAnsi="Arial" w:cs="Arial"/>
          <w:i/>
          <w:sz w:val="21"/>
          <w:szCs w:val="21"/>
        </w:rPr>
        <w:t xml:space="preserve">en las escuelas. </w:t>
      </w:r>
    </w:p>
    <w:p w14:paraId="1734201E" w14:textId="1793644D" w:rsidR="00F01E8B" w:rsidRDefault="00203856" w:rsidP="00F01E8B">
      <w:pPr>
        <w:pStyle w:val="Prrafodelista"/>
        <w:numPr>
          <w:ilvl w:val="0"/>
          <w:numId w:val="2"/>
        </w:numPr>
        <w:spacing w:after="120"/>
        <w:ind w:left="567" w:hanging="207"/>
        <w:jc w:val="both"/>
        <w:rPr>
          <w:rFonts w:ascii="Arial" w:hAnsi="Arial" w:cs="Arial"/>
          <w:i/>
          <w:sz w:val="21"/>
          <w:szCs w:val="21"/>
          <w:lang w:val="es-MX"/>
        </w:rPr>
      </w:pPr>
      <w:r w:rsidRPr="007F1D55">
        <w:rPr>
          <w:rFonts w:ascii="Arial" w:eastAsiaTheme="minorHAnsi" w:hAnsi="Arial" w:cs="Arial"/>
          <w:i/>
          <w:sz w:val="21"/>
          <w:szCs w:val="21"/>
          <w:lang w:val="es-MX" w:eastAsia="en-US"/>
        </w:rPr>
        <w:t>Pedimos</w:t>
      </w:r>
      <w:r w:rsidR="00424D40" w:rsidRPr="007F1D55">
        <w:rPr>
          <w:rFonts w:ascii="Arial" w:eastAsiaTheme="minorHAnsi" w:hAnsi="Arial" w:cs="Arial"/>
          <w:i/>
          <w:sz w:val="21"/>
          <w:szCs w:val="21"/>
          <w:lang w:val="es-MX" w:eastAsia="en-US"/>
        </w:rPr>
        <w:t xml:space="preserve"> a la Secretaría de Educación Pública </w:t>
      </w:r>
      <w:r w:rsidR="00E55825" w:rsidRPr="007F1D55">
        <w:rPr>
          <w:rFonts w:ascii="Arial" w:eastAsiaTheme="minorHAnsi" w:hAnsi="Arial" w:cs="Arial"/>
          <w:i/>
          <w:sz w:val="21"/>
          <w:szCs w:val="21"/>
          <w:lang w:val="es-MX" w:eastAsia="en-US"/>
        </w:rPr>
        <w:t>priorizar el interés superior de</w:t>
      </w:r>
      <w:r w:rsidR="003155EF" w:rsidRPr="007F1D55">
        <w:rPr>
          <w:rFonts w:ascii="Arial" w:eastAsiaTheme="minorHAnsi" w:hAnsi="Arial" w:cs="Arial"/>
          <w:i/>
          <w:sz w:val="21"/>
          <w:szCs w:val="21"/>
          <w:lang w:val="es-MX" w:eastAsia="en-US"/>
        </w:rPr>
        <w:t xml:space="preserve"> niñas, niños y adolescentes </w:t>
      </w:r>
      <w:r w:rsidR="00E55825" w:rsidRPr="007F1D55">
        <w:rPr>
          <w:rFonts w:ascii="Arial" w:hAnsi="Arial" w:cs="Arial"/>
          <w:i/>
          <w:sz w:val="21"/>
          <w:szCs w:val="21"/>
          <w:lang w:val="es-MX"/>
        </w:rPr>
        <w:t>restringiendo toda la publicidad de productos de bajo valor nutrimental en las plataformas</w:t>
      </w:r>
      <w:r w:rsidR="007E53CE" w:rsidRPr="007F1D55">
        <w:rPr>
          <w:rFonts w:ascii="Arial" w:hAnsi="Arial" w:cs="Arial"/>
          <w:i/>
          <w:sz w:val="21"/>
          <w:szCs w:val="21"/>
          <w:lang w:val="es-MX"/>
        </w:rPr>
        <w:t xml:space="preserve"> oficiales y las plataformas privadas que reproducen sus contenidos. </w:t>
      </w:r>
    </w:p>
    <w:p w14:paraId="0C7B8E01" w14:textId="77777777" w:rsidR="00F01E8B" w:rsidRPr="00F01E8B" w:rsidRDefault="00F01E8B" w:rsidP="00F01E8B">
      <w:pPr>
        <w:pStyle w:val="Prrafodelista"/>
        <w:spacing w:after="120"/>
        <w:ind w:left="567"/>
        <w:jc w:val="both"/>
        <w:rPr>
          <w:rFonts w:ascii="Arial" w:hAnsi="Arial" w:cs="Arial"/>
          <w:i/>
          <w:sz w:val="11"/>
          <w:szCs w:val="21"/>
          <w:lang w:val="es-MX"/>
        </w:rPr>
      </w:pPr>
    </w:p>
    <w:p w14:paraId="0CC055D3" w14:textId="682F4001" w:rsidR="00A73E2D" w:rsidRPr="007F1D55" w:rsidRDefault="00424D40" w:rsidP="007E53CE">
      <w:pPr>
        <w:jc w:val="both"/>
        <w:rPr>
          <w:rFonts w:ascii="Arial" w:hAnsi="Arial" w:cs="Arial"/>
          <w:sz w:val="22"/>
          <w:szCs w:val="22"/>
        </w:rPr>
      </w:pPr>
      <w:r w:rsidRPr="007F1D55">
        <w:rPr>
          <w:rFonts w:ascii="Arial" w:hAnsi="Arial" w:cs="Arial"/>
          <w:b/>
          <w:sz w:val="22"/>
          <w:szCs w:val="22"/>
        </w:rPr>
        <w:t>Ciudad</w:t>
      </w:r>
      <w:r w:rsidR="00376178" w:rsidRPr="007F1D55">
        <w:rPr>
          <w:rFonts w:ascii="Arial" w:hAnsi="Arial" w:cs="Arial"/>
          <w:b/>
          <w:sz w:val="22"/>
          <w:szCs w:val="22"/>
        </w:rPr>
        <w:t xml:space="preserve"> de Mé</w:t>
      </w:r>
      <w:r w:rsidR="005E1837" w:rsidRPr="007F1D55">
        <w:rPr>
          <w:rFonts w:ascii="Arial" w:hAnsi="Arial" w:cs="Arial"/>
          <w:b/>
          <w:sz w:val="22"/>
          <w:szCs w:val="22"/>
        </w:rPr>
        <w:t>xico a 29 de abril 2021.</w:t>
      </w:r>
      <w:r w:rsidR="005E1837" w:rsidRPr="007F1D55">
        <w:rPr>
          <w:rFonts w:ascii="Arial" w:hAnsi="Arial" w:cs="Arial"/>
          <w:sz w:val="22"/>
          <w:szCs w:val="22"/>
        </w:rPr>
        <w:t xml:space="preserve"> La industria de alimentos y bebidas </w:t>
      </w:r>
      <w:r w:rsidR="005E1837" w:rsidRPr="007F1D55">
        <w:rPr>
          <w:rFonts w:ascii="Arial" w:hAnsi="Arial" w:cs="Arial"/>
          <w:bCs/>
          <w:sz w:val="22"/>
          <w:szCs w:val="22"/>
        </w:rPr>
        <w:t xml:space="preserve">ha encontrado una oportunidad </w:t>
      </w:r>
      <w:r w:rsidR="005E1837" w:rsidRPr="007F1D55">
        <w:rPr>
          <w:rFonts w:ascii="Arial" w:hAnsi="Arial" w:cs="Arial"/>
          <w:sz w:val="22"/>
          <w:szCs w:val="22"/>
        </w:rPr>
        <w:t xml:space="preserve">para comercializar alimentos </w:t>
      </w:r>
      <w:r w:rsidR="00804646" w:rsidRPr="007F1D55">
        <w:rPr>
          <w:rFonts w:ascii="Arial" w:hAnsi="Arial" w:cs="Arial"/>
          <w:sz w:val="22"/>
          <w:szCs w:val="22"/>
        </w:rPr>
        <w:t>y bebidas no</w:t>
      </w:r>
      <w:r w:rsidR="005E1837" w:rsidRPr="007F1D55">
        <w:rPr>
          <w:rFonts w:ascii="Arial" w:hAnsi="Arial" w:cs="Arial"/>
          <w:sz w:val="22"/>
          <w:szCs w:val="22"/>
        </w:rPr>
        <w:t xml:space="preserve"> saludables a través de las plataformas digitales del programa </w:t>
      </w:r>
      <w:r w:rsidR="005E1837" w:rsidRPr="007F1D55">
        <w:rPr>
          <w:rFonts w:ascii="Arial" w:hAnsi="Arial" w:cs="Arial"/>
          <w:i/>
          <w:sz w:val="22"/>
          <w:szCs w:val="22"/>
        </w:rPr>
        <w:t>Aprende en Casa</w:t>
      </w:r>
      <w:r w:rsidR="00A73E2D" w:rsidRPr="007F1D55">
        <w:rPr>
          <w:rFonts w:ascii="Arial" w:hAnsi="Arial" w:cs="Arial"/>
          <w:sz w:val="22"/>
          <w:szCs w:val="22"/>
        </w:rPr>
        <w:t xml:space="preserve">, </w:t>
      </w:r>
      <w:r w:rsidR="00F82829" w:rsidRPr="007F1D55">
        <w:rPr>
          <w:rFonts w:ascii="Arial" w:hAnsi="Arial" w:cs="Arial"/>
          <w:sz w:val="22"/>
          <w:szCs w:val="22"/>
        </w:rPr>
        <w:t>violando los derechos a la salud y alimentación de niñas, niños y adolescentes en los e</w:t>
      </w:r>
      <w:r w:rsidR="00083066" w:rsidRPr="007F1D55">
        <w:rPr>
          <w:rFonts w:ascii="Arial" w:hAnsi="Arial" w:cs="Arial"/>
          <w:sz w:val="22"/>
          <w:szCs w:val="22"/>
        </w:rPr>
        <w:t>s</w:t>
      </w:r>
      <w:r w:rsidR="00F82829" w:rsidRPr="007F1D55">
        <w:rPr>
          <w:rFonts w:ascii="Arial" w:hAnsi="Arial" w:cs="Arial"/>
          <w:sz w:val="22"/>
          <w:szCs w:val="22"/>
        </w:rPr>
        <w:t xml:space="preserve">pacios educativos, </w:t>
      </w:r>
      <w:r w:rsidR="00B44E58" w:rsidRPr="007F1D55">
        <w:rPr>
          <w:rFonts w:ascii="Arial" w:hAnsi="Arial" w:cs="Arial"/>
          <w:sz w:val="22"/>
          <w:szCs w:val="22"/>
        </w:rPr>
        <w:t>d</w:t>
      </w:r>
      <w:r w:rsidR="00E55825" w:rsidRPr="007F1D55">
        <w:rPr>
          <w:rFonts w:ascii="Arial" w:hAnsi="Arial" w:cs="Arial"/>
          <w:sz w:val="22"/>
          <w:szCs w:val="22"/>
        </w:rPr>
        <w:t>enunció</w:t>
      </w:r>
      <w:r w:rsidR="008C156B" w:rsidRPr="007F1D55">
        <w:rPr>
          <w:rFonts w:ascii="Arial" w:hAnsi="Arial" w:cs="Arial"/>
          <w:sz w:val="22"/>
          <w:szCs w:val="22"/>
        </w:rPr>
        <w:t xml:space="preserve"> la organización</w:t>
      </w:r>
      <w:r w:rsidR="00E55825" w:rsidRPr="007F1D55">
        <w:rPr>
          <w:rFonts w:ascii="Arial" w:hAnsi="Arial" w:cs="Arial"/>
          <w:sz w:val="22"/>
          <w:szCs w:val="22"/>
        </w:rPr>
        <w:t xml:space="preserve"> El Poder del Consumido</w:t>
      </w:r>
      <w:r w:rsidR="00A73E2D" w:rsidRPr="007F1D55">
        <w:rPr>
          <w:rFonts w:ascii="Arial" w:hAnsi="Arial" w:cs="Arial"/>
          <w:sz w:val="22"/>
          <w:szCs w:val="22"/>
        </w:rPr>
        <w:t>r</w:t>
      </w:r>
      <w:r w:rsidR="007E53CE" w:rsidRPr="007F1D55">
        <w:rPr>
          <w:rFonts w:ascii="Arial" w:hAnsi="Arial" w:cs="Arial"/>
          <w:sz w:val="22"/>
          <w:szCs w:val="22"/>
        </w:rPr>
        <w:t xml:space="preserve"> y la Re</w:t>
      </w:r>
      <w:r w:rsidR="007F1D55">
        <w:rPr>
          <w:rFonts w:ascii="Arial" w:hAnsi="Arial" w:cs="Arial"/>
          <w:sz w:val="22"/>
          <w:szCs w:val="22"/>
        </w:rPr>
        <w:t>d</w:t>
      </w:r>
      <w:r w:rsidR="007E53CE" w:rsidRPr="007F1D55">
        <w:rPr>
          <w:rFonts w:ascii="Arial" w:hAnsi="Arial" w:cs="Arial"/>
          <w:sz w:val="22"/>
          <w:szCs w:val="22"/>
        </w:rPr>
        <w:t xml:space="preserve"> por los Derechos de la Infancia en México</w:t>
      </w:r>
      <w:r w:rsidR="00A73E2D" w:rsidRPr="007F1D55">
        <w:rPr>
          <w:rFonts w:ascii="Arial" w:hAnsi="Arial" w:cs="Arial"/>
          <w:sz w:val="22"/>
          <w:szCs w:val="22"/>
        </w:rPr>
        <w:t xml:space="preserve">. </w:t>
      </w:r>
    </w:p>
    <w:p w14:paraId="5964C062" w14:textId="77777777" w:rsidR="00804646" w:rsidRPr="007F1D55" w:rsidRDefault="00804646" w:rsidP="00804646">
      <w:pPr>
        <w:jc w:val="both"/>
        <w:rPr>
          <w:rFonts w:ascii="Arial" w:eastAsiaTheme="minorHAnsi" w:hAnsi="Arial" w:cs="Arial"/>
          <w:bCs/>
          <w:color w:val="000000"/>
          <w:sz w:val="22"/>
          <w:szCs w:val="22"/>
          <w:lang w:eastAsia="en-US"/>
        </w:rPr>
      </w:pPr>
    </w:p>
    <w:p w14:paraId="72D575F8" w14:textId="60C4CCF9" w:rsidR="00804646" w:rsidRPr="007F1D55" w:rsidRDefault="00804646" w:rsidP="00804646">
      <w:pPr>
        <w:jc w:val="both"/>
        <w:rPr>
          <w:rFonts w:ascii="Arial" w:hAnsi="Arial" w:cs="Arial"/>
          <w:sz w:val="22"/>
          <w:szCs w:val="22"/>
        </w:rPr>
      </w:pPr>
      <w:r w:rsidRPr="007F1D55">
        <w:rPr>
          <w:rFonts w:ascii="Arial" w:eastAsiaTheme="minorHAnsi" w:hAnsi="Arial" w:cs="Arial"/>
          <w:bCs/>
          <w:color w:val="000000"/>
          <w:sz w:val="22"/>
          <w:szCs w:val="22"/>
          <w:lang w:eastAsia="en-US"/>
        </w:rPr>
        <w:t xml:space="preserve">El programa </w:t>
      </w:r>
      <w:r w:rsidRPr="007F1D55">
        <w:rPr>
          <w:rFonts w:ascii="Arial" w:eastAsiaTheme="minorHAnsi" w:hAnsi="Arial" w:cs="Arial"/>
          <w:bCs/>
          <w:i/>
          <w:color w:val="000000"/>
          <w:sz w:val="22"/>
          <w:szCs w:val="22"/>
          <w:lang w:eastAsia="en-US"/>
        </w:rPr>
        <w:t>Aprende en Ca</w:t>
      </w:r>
      <w:r w:rsidRPr="007F1D55">
        <w:rPr>
          <w:rFonts w:ascii="Arial" w:eastAsiaTheme="minorHAnsi" w:hAnsi="Arial" w:cs="Arial"/>
          <w:bCs/>
          <w:color w:val="000000"/>
          <w:sz w:val="22"/>
          <w:szCs w:val="22"/>
          <w:lang w:eastAsia="en-US"/>
        </w:rPr>
        <w:t>sa, fue lanzado por la Secretar</w:t>
      </w:r>
      <w:r w:rsidR="00FA394D">
        <w:rPr>
          <w:rFonts w:ascii="Arial" w:eastAsiaTheme="minorHAnsi" w:hAnsi="Arial" w:cs="Arial"/>
          <w:bCs/>
          <w:color w:val="000000"/>
          <w:sz w:val="22"/>
          <w:szCs w:val="22"/>
          <w:lang w:eastAsia="en-US"/>
        </w:rPr>
        <w:t>í</w:t>
      </w:r>
      <w:r w:rsidRPr="007F1D55">
        <w:rPr>
          <w:rFonts w:ascii="Arial" w:eastAsiaTheme="minorHAnsi" w:hAnsi="Arial" w:cs="Arial"/>
          <w:bCs/>
          <w:color w:val="000000"/>
          <w:sz w:val="22"/>
          <w:szCs w:val="22"/>
          <w:lang w:eastAsia="en-US"/>
        </w:rPr>
        <w:t>a de Educación Pública</w:t>
      </w:r>
      <w:r w:rsidR="007F1D55">
        <w:rPr>
          <w:rFonts w:ascii="Arial" w:eastAsiaTheme="minorHAnsi" w:hAnsi="Arial" w:cs="Arial"/>
          <w:bCs/>
          <w:color w:val="000000"/>
          <w:sz w:val="22"/>
          <w:szCs w:val="22"/>
          <w:lang w:eastAsia="en-US"/>
        </w:rPr>
        <w:t xml:space="preserve"> (SEP)</w:t>
      </w:r>
      <w:r w:rsidRPr="007F1D55">
        <w:rPr>
          <w:rFonts w:ascii="Arial" w:eastAsiaTheme="minorHAnsi" w:hAnsi="Arial" w:cs="Arial"/>
          <w:bCs/>
          <w:color w:val="000000"/>
          <w:sz w:val="22"/>
          <w:szCs w:val="22"/>
          <w:lang w:eastAsia="en-US"/>
        </w:rPr>
        <w:t xml:space="preserve"> en el contexto de</w:t>
      </w:r>
      <w:r w:rsidRPr="007F1D55">
        <w:rPr>
          <w:rFonts w:ascii="Arial" w:hAnsi="Arial" w:cs="Arial"/>
          <w:bCs/>
          <w:sz w:val="22"/>
          <w:szCs w:val="22"/>
        </w:rPr>
        <w:t xml:space="preserve"> la pandemia por COVID-19 desde abril del 2020 con la finalidad de que</w:t>
      </w:r>
      <w:r w:rsidRPr="007F1D55">
        <w:rPr>
          <w:rFonts w:ascii="Arial" w:hAnsi="Arial" w:cs="Arial"/>
          <w:sz w:val="22"/>
          <w:szCs w:val="22"/>
        </w:rPr>
        <w:t xml:space="preserve"> las y los estudiantes continuaran con su educación, a través de la transmisión diaria de los contenidos educativos en canales de televisión y plataformas de internet. </w:t>
      </w:r>
    </w:p>
    <w:p w14:paraId="7ACDAE26" w14:textId="77777777" w:rsidR="00A73E2D" w:rsidRPr="007F1D55" w:rsidRDefault="00A73E2D" w:rsidP="00A73E2D">
      <w:pPr>
        <w:jc w:val="both"/>
        <w:rPr>
          <w:rFonts w:ascii="Arial" w:hAnsi="Arial" w:cs="Arial"/>
          <w:sz w:val="22"/>
          <w:szCs w:val="22"/>
        </w:rPr>
      </w:pPr>
    </w:p>
    <w:p w14:paraId="3174D498" w14:textId="4A71E77F" w:rsidR="00AF244A" w:rsidRPr="007F1D55" w:rsidRDefault="00804646" w:rsidP="007E53CE">
      <w:pPr>
        <w:jc w:val="both"/>
        <w:rPr>
          <w:rFonts w:ascii="Arial" w:hAnsi="Arial" w:cs="Arial"/>
          <w:b/>
          <w:bCs/>
          <w:sz w:val="22"/>
          <w:szCs w:val="22"/>
        </w:rPr>
      </w:pPr>
      <w:r w:rsidRPr="007F1D55">
        <w:rPr>
          <w:rFonts w:ascii="Arial" w:hAnsi="Arial" w:cs="Arial"/>
          <w:sz w:val="22"/>
          <w:szCs w:val="22"/>
        </w:rPr>
        <w:t>L</w:t>
      </w:r>
      <w:r w:rsidR="00A73E2D" w:rsidRPr="007F1D55">
        <w:rPr>
          <w:rFonts w:ascii="Arial" w:hAnsi="Arial" w:cs="Arial"/>
          <w:sz w:val="22"/>
          <w:szCs w:val="22"/>
        </w:rPr>
        <w:t xml:space="preserve">os </w:t>
      </w:r>
      <w:r w:rsidR="00E55825" w:rsidRPr="007F1D55">
        <w:rPr>
          <w:rFonts w:ascii="Arial" w:hAnsi="Arial" w:cs="Arial"/>
          <w:sz w:val="22"/>
          <w:szCs w:val="22"/>
        </w:rPr>
        <w:t xml:space="preserve">resultados </w:t>
      </w:r>
      <w:r w:rsidR="007F1D55" w:rsidRPr="007F1D55">
        <w:rPr>
          <w:rFonts w:ascii="Arial" w:hAnsi="Arial" w:cs="Arial"/>
          <w:sz w:val="22"/>
          <w:szCs w:val="22"/>
        </w:rPr>
        <w:t>del estudio</w:t>
      </w:r>
      <w:r w:rsidR="005E1837" w:rsidRPr="007F1D55">
        <w:rPr>
          <w:rFonts w:ascii="Arial" w:hAnsi="Arial" w:cs="Arial"/>
          <w:sz w:val="22"/>
          <w:szCs w:val="22"/>
        </w:rPr>
        <w:t xml:space="preserve"> exploratorio </w:t>
      </w:r>
      <w:r w:rsidR="00B44E58" w:rsidRPr="007F1D55">
        <w:rPr>
          <w:rFonts w:ascii="Arial" w:hAnsi="Arial" w:cs="Arial"/>
          <w:sz w:val="22"/>
          <w:szCs w:val="22"/>
        </w:rPr>
        <w:t xml:space="preserve">“Exposición de la infancia a la publicidad de comida chatarra en las plataformas digitales de </w:t>
      </w:r>
      <w:r w:rsidR="00B44E58" w:rsidRPr="007F1D55">
        <w:rPr>
          <w:rFonts w:ascii="Arial" w:hAnsi="Arial" w:cs="Arial"/>
          <w:i/>
          <w:sz w:val="22"/>
          <w:szCs w:val="22"/>
        </w:rPr>
        <w:t>Aprende en Casa</w:t>
      </w:r>
      <w:r w:rsidR="00B44E58" w:rsidRPr="007F1D55">
        <w:rPr>
          <w:rFonts w:ascii="Arial" w:hAnsi="Arial" w:cs="Arial"/>
          <w:sz w:val="22"/>
          <w:szCs w:val="22"/>
        </w:rPr>
        <w:t>”,</w:t>
      </w:r>
      <w:r w:rsidR="00A73E2D" w:rsidRPr="007F1D55">
        <w:rPr>
          <w:rFonts w:ascii="Arial" w:hAnsi="Arial" w:cs="Arial"/>
          <w:sz w:val="22"/>
          <w:szCs w:val="22"/>
        </w:rPr>
        <w:t xml:space="preserve"> </w:t>
      </w:r>
      <w:r w:rsidRPr="007F1D55">
        <w:rPr>
          <w:rFonts w:ascii="Arial" w:hAnsi="Arial" w:cs="Arial"/>
          <w:sz w:val="22"/>
          <w:szCs w:val="22"/>
        </w:rPr>
        <w:t xml:space="preserve">realizado por El Poder del Consumidor, revelaron </w:t>
      </w:r>
      <w:r w:rsidR="00A73E2D" w:rsidRPr="007F1D55">
        <w:rPr>
          <w:rFonts w:ascii="Arial" w:hAnsi="Arial" w:cs="Arial"/>
          <w:sz w:val="22"/>
          <w:szCs w:val="22"/>
        </w:rPr>
        <w:t>que</w:t>
      </w:r>
      <w:r w:rsidR="005E1837" w:rsidRPr="007F1D55">
        <w:rPr>
          <w:rFonts w:ascii="Arial" w:hAnsi="Arial" w:cs="Arial"/>
          <w:sz w:val="22"/>
          <w:szCs w:val="22"/>
        </w:rPr>
        <w:t xml:space="preserve"> </w:t>
      </w:r>
      <w:r w:rsidR="005E1837" w:rsidRPr="007F1D55">
        <w:rPr>
          <w:rFonts w:ascii="Arial" w:hAnsi="Arial" w:cs="Arial"/>
          <w:b/>
          <w:bCs/>
          <w:sz w:val="22"/>
          <w:szCs w:val="22"/>
        </w:rPr>
        <w:t>por cada hora de navegación en las plataformas educativas los estudiantes observan</w:t>
      </w:r>
      <w:r w:rsidR="00E55825" w:rsidRPr="007F1D55">
        <w:rPr>
          <w:rFonts w:ascii="Arial" w:hAnsi="Arial" w:cs="Arial"/>
          <w:b/>
          <w:bCs/>
          <w:sz w:val="22"/>
          <w:szCs w:val="22"/>
        </w:rPr>
        <w:t xml:space="preserve"> entre</w:t>
      </w:r>
      <w:r w:rsidR="005E1837" w:rsidRPr="007F1D55">
        <w:rPr>
          <w:rFonts w:ascii="Arial" w:hAnsi="Arial" w:cs="Arial"/>
          <w:b/>
          <w:bCs/>
          <w:sz w:val="22"/>
          <w:szCs w:val="22"/>
        </w:rPr>
        <w:t xml:space="preserve"> </w:t>
      </w:r>
      <w:r w:rsidR="00C0509A" w:rsidRPr="007F1D55">
        <w:rPr>
          <w:rFonts w:ascii="Arial" w:hAnsi="Arial" w:cs="Arial"/>
          <w:b/>
          <w:bCs/>
          <w:sz w:val="22"/>
          <w:szCs w:val="22"/>
        </w:rPr>
        <w:t>uno</w:t>
      </w:r>
      <w:r w:rsidR="005E1837" w:rsidRPr="007F1D55">
        <w:rPr>
          <w:rFonts w:ascii="Arial" w:hAnsi="Arial" w:cs="Arial"/>
          <w:b/>
          <w:bCs/>
          <w:sz w:val="22"/>
          <w:szCs w:val="22"/>
        </w:rPr>
        <w:t xml:space="preserve"> </w:t>
      </w:r>
      <w:r w:rsidR="00E55825" w:rsidRPr="007F1D55">
        <w:rPr>
          <w:rFonts w:ascii="Arial" w:hAnsi="Arial" w:cs="Arial"/>
          <w:b/>
          <w:bCs/>
          <w:sz w:val="22"/>
          <w:szCs w:val="22"/>
        </w:rPr>
        <w:t xml:space="preserve">y </w:t>
      </w:r>
      <w:r w:rsidR="00C0509A" w:rsidRPr="007F1D55">
        <w:rPr>
          <w:rFonts w:ascii="Arial" w:hAnsi="Arial" w:cs="Arial"/>
          <w:b/>
          <w:bCs/>
          <w:sz w:val="22"/>
          <w:szCs w:val="22"/>
        </w:rPr>
        <w:t>cuatro</w:t>
      </w:r>
      <w:r w:rsidR="005E1837" w:rsidRPr="007F1D55">
        <w:rPr>
          <w:rFonts w:ascii="Arial" w:hAnsi="Arial" w:cs="Arial"/>
          <w:b/>
          <w:bCs/>
          <w:sz w:val="22"/>
          <w:szCs w:val="22"/>
        </w:rPr>
        <w:t xml:space="preserve"> anuncios de alimentos y bebidas, llegando a ver en una jornada escolar hasta 20 anuncios de </w:t>
      </w:r>
      <w:r w:rsidR="00C0509A" w:rsidRPr="007F1D55">
        <w:rPr>
          <w:rFonts w:ascii="Arial" w:hAnsi="Arial" w:cs="Arial"/>
          <w:b/>
          <w:bCs/>
          <w:sz w:val="22"/>
          <w:szCs w:val="22"/>
        </w:rPr>
        <w:t xml:space="preserve">estos productos. </w:t>
      </w:r>
      <w:r w:rsidR="005E1837" w:rsidRPr="007F1D55">
        <w:rPr>
          <w:rFonts w:ascii="Arial" w:hAnsi="Arial" w:cs="Arial"/>
          <w:b/>
          <w:bCs/>
          <w:sz w:val="22"/>
          <w:szCs w:val="22"/>
        </w:rPr>
        <w:t xml:space="preserve"> </w:t>
      </w:r>
    </w:p>
    <w:p w14:paraId="70AAE944" w14:textId="77777777" w:rsidR="00AF244A" w:rsidRPr="007F1D55" w:rsidRDefault="00AF244A" w:rsidP="007E53CE">
      <w:pPr>
        <w:jc w:val="both"/>
        <w:rPr>
          <w:rFonts w:ascii="Arial" w:hAnsi="Arial" w:cs="Arial"/>
          <w:sz w:val="22"/>
          <w:szCs w:val="22"/>
        </w:rPr>
      </w:pPr>
    </w:p>
    <w:p w14:paraId="2F9E0992" w14:textId="2A98DA56" w:rsidR="005117FE" w:rsidRPr="007F1D55" w:rsidRDefault="005E1837" w:rsidP="007E53CE">
      <w:pPr>
        <w:jc w:val="both"/>
        <w:rPr>
          <w:rFonts w:ascii="Arial" w:hAnsi="Arial" w:cs="Arial"/>
          <w:sz w:val="22"/>
          <w:szCs w:val="22"/>
        </w:rPr>
      </w:pPr>
      <w:r w:rsidRPr="007F1D55">
        <w:rPr>
          <w:rFonts w:ascii="Arial" w:hAnsi="Arial" w:cs="Arial"/>
          <w:sz w:val="22"/>
          <w:szCs w:val="22"/>
        </w:rPr>
        <w:t xml:space="preserve">El estudio exploratorio </w:t>
      </w:r>
      <w:r w:rsidR="00804646" w:rsidRPr="007F1D55">
        <w:rPr>
          <w:rFonts w:ascii="Arial" w:hAnsi="Arial" w:cs="Arial"/>
          <w:sz w:val="22"/>
          <w:szCs w:val="22"/>
        </w:rPr>
        <w:t xml:space="preserve">se llevó a cabo </w:t>
      </w:r>
      <w:r w:rsidR="0020196D" w:rsidRPr="007F1D55">
        <w:rPr>
          <w:rFonts w:ascii="Arial" w:hAnsi="Arial" w:cs="Arial"/>
          <w:sz w:val="22"/>
          <w:szCs w:val="22"/>
        </w:rPr>
        <w:t xml:space="preserve">en los meses de </w:t>
      </w:r>
      <w:r w:rsidR="005117FE" w:rsidRPr="007F1D55">
        <w:rPr>
          <w:rFonts w:ascii="Arial" w:hAnsi="Arial" w:cs="Arial"/>
          <w:sz w:val="22"/>
          <w:szCs w:val="22"/>
        </w:rPr>
        <w:t>diciembre del 2020 y febrero del 2021</w:t>
      </w:r>
      <w:r w:rsidR="00804646" w:rsidRPr="007F1D55">
        <w:rPr>
          <w:rFonts w:ascii="Arial" w:hAnsi="Arial" w:cs="Arial"/>
          <w:sz w:val="22"/>
          <w:szCs w:val="22"/>
        </w:rPr>
        <w:t xml:space="preserve"> y </w:t>
      </w:r>
      <w:r w:rsidRPr="007F1D55">
        <w:rPr>
          <w:rFonts w:ascii="Arial" w:hAnsi="Arial" w:cs="Arial"/>
          <w:sz w:val="22"/>
          <w:szCs w:val="22"/>
        </w:rPr>
        <w:t xml:space="preserve">tuvo como objetivo </w:t>
      </w:r>
      <w:r w:rsidR="005117FE" w:rsidRPr="007F1D55">
        <w:rPr>
          <w:rFonts w:ascii="Arial" w:hAnsi="Arial" w:cs="Arial"/>
          <w:sz w:val="22"/>
          <w:szCs w:val="22"/>
        </w:rPr>
        <w:t xml:space="preserve">conocer la experiencia de estudiantes de primaria y secundaria al usar </w:t>
      </w:r>
      <w:r w:rsidR="00E55825" w:rsidRPr="007F1D55">
        <w:rPr>
          <w:rFonts w:ascii="Arial" w:hAnsi="Arial" w:cs="Arial"/>
          <w:sz w:val="22"/>
          <w:szCs w:val="22"/>
        </w:rPr>
        <w:t>las plataformas</w:t>
      </w:r>
      <w:r w:rsidR="0020196D" w:rsidRPr="007F1D55">
        <w:rPr>
          <w:rFonts w:ascii="Arial" w:hAnsi="Arial" w:cs="Arial"/>
          <w:sz w:val="22"/>
          <w:szCs w:val="22"/>
        </w:rPr>
        <w:t xml:space="preserve"> educativas de </w:t>
      </w:r>
      <w:r w:rsidR="00AF244A" w:rsidRPr="007F1D55">
        <w:rPr>
          <w:rFonts w:ascii="Arial" w:hAnsi="Arial" w:cs="Arial"/>
          <w:sz w:val="22"/>
          <w:szCs w:val="22"/>
        </w:rPr>
        <w:t>este programa</w:t>
      </w:r>
      <w:r w:rsidR="00E55825" w:rsidRPr="007F1D55">
        <w:rPr>
          <w:rFonts w:ascii="Arial" w:hAnsi="Arial" w:cs="Arial"/>
          <w:sz w:val="22"/>
          <w:szCs w:val="22"/>
        </w:rPr>
        <w:t xml:space="preserve"> </w:t>
      </w:r>
      <w:r w:rsidR="00A5085C" w:rsidRPr="007F1D55">
        <w:rPr>
          <w:rFonts w:ascii="Arial" w:hAnsi="Arial" w:cs="Arial"/>
          <w:sz w:val="22"/>
          <w:szCs w:val="22"/>
        </w:rPr>
        <w:t>para</w:t>
      </w:r>
      <w:r w:rsidR="005117FE" w:rsidRPr="007F1D55">
        <w:rPr>
          <w:rFonts w:ascii="Arial" w:hAnsi="Arial" w:cs="Arial"/>
          <w:sz w:val="22"/>
          <w:szCs w:val="22"/>
        </w:rPr>
        <w:t xml:space="preserve"> identificar la exposición a anuncios publicitarios de alimentos y bebidas. Los principales hallazgos fueron:</w:t>
      </w:r>
    </w:p>
    <w:p w14:paraId="5CE1F3E3" w14:textId="77777777" w:rsidR="005117FE" w:rsidRPr="007F1D55" w:rsidRDefault="005117FE" w:rsidP="007E53CE">
      <w:pPr>
        <w:jc w:val="both"/>
        <w:rPr>
          <w:rFonts w:ascii="Arial" w:hAnsi="Arial" w:cs="Arial"/>
          <w:sz w:val="22"/>
          <w:szCs w:val="22"/>
        </w:rPr>
      </w:pPr>
    </w:p>
    <w:tbl>
      <w:tblPr>
        <w:tblStyle w:val="Tablaconcuadrcula"/>
        <w:tblW w:w="9351" w:type="dxa"/>
        <w:tblLook w:val="04A0" w:firstRow="1" w:lastRow="0" w:firstColumn="1" w:lastColumn="0" w:noHBand="0" w:noVBand="1"/>
      </w:tblPr>
      <w:tblGrid>
        <w:gridCol w:w="2207"/>
        <w:gridCol w:w="3458"/>
        <w:gridCol w:w="3686"/>
      </w:tblGrid>
      <w:tr w:rsidR="005117FE" w:rsidRPr="007F1D55" w14:paraId="193FE28E" w14:textId="77777777" w:rsidTr="00F01E8B">
        <w:trPr>
          <w:trHeight w:val="327"/>
        </w:trPr>
        <w:tc>
          <w:tcPr>
            <w:tcW w:w="2207" w:type="dxa"/>
            <w:vMerge w:val="restart"/>
            <w:shd w:val="clear" w:color="auto" w:fill="D9D9D9" w:themeFill="background1" w:themeFillShade="D9"/>
          </w:tcPr>
          <w:p w14:paraId="6356411A" w14:textId="77777777" w:rsidR="005117FE" w:rsidRPr="00F01E8B" w:rsidRDefault="005117FE" w:rsidP="00646816">
            <w:pPr>
              <w:spacing w:line="240" w:lineRule="atLeast"/>
              <w:jc w:val="center"/>
              <w:rPr>
                <w:rFonts w:ascii="Arial" w:hAnsi="Arial" w:cs="Arial"/>
                <w:b/>
                <w:sz w:val="22"/>
                <w:szCs w:val="22"/>
              </w:rPr>
            </w:pPr>
            <w:r w:rsidRPr="00F01E8B">
              <w:rPr>
                <w:rFonts w:ascii="Arial" w:hAnsi="Arial" w:cs="Arial"/>
                <w:b/>
                <w:sz w:val="22"/>
                <w:szCs w:val="22"/>
              </w:rPr>
              <w:t>Monitoreo de la plataforma digital</w:t>
            </w:r>
          </w:p>
        </w:tc>
        <w:tc>
          <w:tcPr>
            <w:tcW w:w="7144" w:type="dxa"/>
            <w:gridSpan w:val="2"/>
            <w:shd w:val="clear" w:color="auto" w:fill="D9D9D9" w:themeFill="background1" w:themeFillShade="D9"/>
          </w:tcPr>
          <w:p w14:paraId="7F0C6306" w14:textId="77777777" w:rsidR="005117FE" w:rsidRPr="00F01E8B" w:rsidRDefault="005117FE">
            <w:pPr>
              <w:spacing w:line="240" w:lineRule="atLeast"/>
              <w:jc w:val="center"/>
              <w:rPr>
                <w:rFonts w:ascii="Arial" w:hAnsi="Arial" w:cs="Arial"/>
                <w:b/>
                <w:sz w:val="22"/>
                <w:szCs w:val="22"/>
              </w:rPr>
            </w:pPr>
            <w:r w:rsidRPr="00F01E8B">
              <w:rPr>
                <w:rFonts w:ascii="Arial" w:hAnsi="Arial" w:cs="Arial"/>
                <w:b/>
                <w:sz w:val="22"/>
                <w:szCs w:val="22"/>
              </w:rPr>
              <w:t>Resultados: exposición publicitaria de alimentos y bebidas</w:t>
            </w:r>
          </w:p>
        </w:tc>
      </w:tr>
      <w:tr w:rsidR="005117FE" w:rsidRPr="007F1D55" w14:paraId="4624862B" w14:textId="77777777" w:rsidTr="00F01E8B">
        <w:trPr>
          <w:trHeight w:val="326"/>
        </w:trPr>
        <w:tc>
          <w:tcPr>
            <w:tcW w:w="2207" w:type="dxa"/>
            <w:vMerge/>
            <w:shd w:val="clear" w:color="auto" w:fill="EEECE1" w:themeFill="background2"/>
          </w:tcPr>
          <w:p w14:paraId="42E3215A" w14:textId="77777777" w:rsidR="005117FE" w:rsidRPr="00F01E8B" w:rsidRDefault="005117FE">
            <w:pPr>
              <w:spacing w:line="240" w:lineRule="atLeast"/>
              <w:jc w:val="both"/>
              <w:rPr>
                <w:rFonts w:ascii="Arial" w:hAnsi="Arial" w:cs="Arial"/>
                <w:b/>
                <w:sz w:val="22"/>
                <w:szCs w:val="22"/>
              </w:rPr>
            </w:pPr>
          </w:p>
        </w:tc>
        <w:tc>
          <w:tcPr>
            <w:tcW w:w="3458" w:type="dxa"/>
            <w:shd w:val="clear" w:color="auto" w:fill="DAEEF3" w:themeFill="accent5" w:themeFillTint="33"/>
          </w:tcPr>
          <w:p w14:paraId="1E834347" w14:textId="77777777" w:rsidR="005117FE" w:rsidRPr="00F01E8B" w:rsidRDefault="005117FE">
            <w:pPr>
              <w:spacing w:line="240" w:lineRule="atLeast"/>
              <w:jc w:val="center"/>
              <w:rPr>
                <w:rFonts w:ascii="Arial" w:hAnsi="Arial" w:cs="Arial"/>
                <w:b/>
                <w:sz w:val="22"/>
                <w:szCs w:val="22"/>
              </w:rPr>
            </w:pPr>
            <w:r w:rsidRPr="00F01E8B">
              <w:rPr>
                <w:rFonts w:ascii="Arial" w:hAnsi="Arial" w:cs="Arial"/>
                <w:b/>
                <w:sz w:val="22"/>
                <w:szCs w:val="22"/>
              </w:rPr>
              <w:t>Diciembre 2020</w:t>
            </w:r>
          </w:p>
        </w:tc>
        <w:tc>
          <w:tcPr>
            <w:tcW w:w="3686" w:type="dxa"/>
            <w:shd w:val="clear" w:color="auto" w:fill="FDE9D9" w:themeFill="accent6" w:themeFillTint="33"/>
          </w:tcPr>
          <w:p w14:paraId="2CB8BC82" w14:textId="44FCE7D1" w:rsidR="005117FE" w:rsidRPr="00F01E8B" w:rsidRDefault="005117FE">
            <w:pPr>
              <w:spacing w:line="240" w:lineRule="atLeast"/>
              <w:jc w:val="center"/>
              <w:rPr>
                <w:rFonts w:ascii="Arial" w:hAnsi="Arial" w:cs="Arial"/>
                <w:b/>
                <w:sz w:val="22"/>
                <w:szCs w:val="22"/>
              </w:rPr>
            </w:pPr>
            <w:r w:rsidRPr="00F01E8B">
              <w:rPr>
                <w:rFonts w:ascii="Arial" w:hAnsi="Arial" w:cs="Arial"/>
                <w:b/>
                <w:sz w:val="22"/>
                <w:szCs w:val="22"/>
              </w:rPr>
              <w:t>Febrero 2021</w:t>
            </w:r>
          </w:p>
        </w:tc>
      </w:tr>
      <w:tr w:rsidR="005117FE" w:rsidRPr="007F1D55" w14:paraId="181BB61D" w14:textId="77777777" w:rsidTr="00F01E8B">
        <w:tc>
          <w:tcPr>
            <w:tcW w:w="2207" w:type="dxa"/>
          </w:tcPr>
          <w:p w14:paraId="023BE948" w14:textId="77777777" w:rsidR="005117FE" w:rsidRPr="00F01E8B" w:rsidRDefault="005117FE" w:rsidP="00646816">
            <w:pPr>
              <w:spacing w:line="240" w:lineRule="atLeast"/>
              <w:rPr>
                <w:rFonts w:ascii="Arial" w:hAnsi="Arial" w:cs="Arial"/>
                <w:b/>
                <w:sz w:val="22"/>
                <w:szCs w:val="22"/>
              </w:rPr>
            </w:pPr>
            <w:r w:rsidRPr="00F01E8B">
              <w:rPr>
                <w:rFonts w:ascii="Arial" w:hAnsi="Arial" w:cs="Arial"/>
                <w:b/>
                <w:sz w:val="22"/>
                <w:szCs w:val="22"/>
              </w:rPr>
              <w:t>Canal Aprende en Casa de YouTube</w:t>
            </w:r>
          </w:p>
        </w:tc>
        <w:tc>
          <w:tcPr>
            <w:tcW w:w="3458" w:type="dxa"/>
          </w:tcPr>
          <w:p w14:paraId="4F711179" w14:textId="4BCD5976" w:rsidR="005117FE" w:rsidRPr="00F01E8B" w:rsidRDefault="00BE50BC">
            <w:pPr>
              <w:spacing w:line="240" w:lineRule="atLeast"/>
              <w:jc w:val="both"/>
              <w:rPr>
                <w:rFonts w:ascii="Arial" w:hAnsi="Arial" w:cs="Arial"/>
                <w:sz w:val="22"/>
                <w:szCs w:val="22"/>
              </w:rPr>
            </w:pPr>
            <w:r w:rsidRPr="00F01E8B">
              <w:rPr>
                <w:rFonts w:ascii="Arial" w:hAnsi="Arial" w:cs="Arial"/>
                <w:b/>
                <w:bCs/>
                <w:sz w:val="22"/>
                <w:szCs w:val="22"/>
              </w:rPr>
              <w:t xml:space="preserve">7 de cada 10 </w:t>
            </w:r>
            <w:r w:rsidR="005117FE" w:rsidRPr="00F01E8B">
              <w:rPr>
                <w:rFonts w:ascii="Arial" w:hAnsi="Arial" w:cs="Arial"/>
                <w:bCs/>
                <w:sz w:val="22"/>
                <w:szCs w:val="22"/>
              </w:rPr>
              <w:t xml:space="preserve">escolares </w:t>
            </w:r>
            <w:r w:rsidR="007F1D55" w:rsidRPr="00F01E8B">
              <w:rPr>
                <w:rFonts w:ascii="Arial" w:hAnsi="Arial" w:cs="Arial"/>
                <w:bCs/>
                <w:sz w:val="22"/>
                <w:szCs w:val="22"/>
              </w:rPr>
              <w:t>que participaron</w:t>
            </w:r>
            <w:r w:rsidR="005117FE" w:rsidRPr="00F01E8B">
              <w:rPr>
                <w:rFonts w:ascii="Arial" w:hAnsi="Arial" w:cs="Arial"/>
                <w:bCs/>
                <w:sz w:val="22"/>
                <w:szCs w:val="22"/>
              </w:rPr>
              <w:t xml:space="preserve"> </w:t>
            </w:r>
            <w:r w:rsidR="005117FE" w:rsidRPr="00F01E8B">
              <w:rPr>
                <w:rFonts w:ascii="Arial" w:hAnsi="Arial" w:cs="Arial"/>
                <w:b/>
                <w:bCs/>
                <w:sz w:val="22"/>
                <w:szCs w:val="22"/>
              </w:rPr>
              <w:t xml:space="preserve">estuvieron expuestos a anuncios de alimentos </w:t>
            </w:r>
            <w:r w:rsidR="005117FE" w:rsidRPr="00F01E8B">
              <w:rPr>
                <w:rFonts w:ascii="Arial" w:hAnsi="Arial" w:cs="Arial"/>
                <w:bCs/>
                <w:sz w:val="22"/>
                <w:szCs w:val="22"/>
              </w:rPr>
              <w:t xml:space="preserve">y bebidas </w:t>
            </w:r>
            <w:r w:rsidR="005117FE" w:rsidRPr="00F01E8B">
              <w:rPr>
                <w:rFonts w:ascii="Arial" w:hAnsi="Arial" w:cs="Arial"/>
                <w:sz w:val="22"/>
                <w:szCs w:val="22"/>
              </w:rPr>
              <w:t>principalmente de lácteos, refrescos, jugos, papas, galletas y comida rápida</w:t>
            </w:r>
            <w:r w:rsidR="007F1D55" w:rsidRPr="00F01E8B">
              <w:rPr>
                <w:rFonts w:ascii="Arial" w:hAnsi="Arial" w:cs="Arial"/>
                <w:sz w:val="22"/>
                <w:szCs w:val="22"/>
              </w:rPr>
              <w:t>.</w:t>
            </w:r>
          </w:p>
        </w:tc>
        <w:tc>
          <w:tcPr>
            <w:tcW w:w="3686" w:type="dxa"/>
          </w:tcPr>
          <w:p w14:paraId="3FB83024" w14:textId="1FEDF34A" w:rsidR="005117FE" w:rsidRPr="00F01E8B" w:rsidRDefault="00BE50BC">
            <w:pPr>
              <w:spacing w:line="240" w:lineRule="atLeast"/>
              <w:jc w:val="both"/>
              <w:rPr>
                <w:rFonts w:ascii="Arial" w:hAnsi="Arial" w:cs="Arial"/>
                <w:sz w:val="22"/>
                <w:szCs w:val="22"/>
              </w:rPr>
            </w:pPr>
            <w:r w:rsidRPr="00F01E8B">
              <w:rPr>
                <w:rFonts w:ascii="Arial" w:hAnsi="Arial" w:cs="Arial"/>
                <w:b/>
                <w:bCs/>
                <w:sz w:val="22"/>
                <w:szCs w:val="22"/>
              </w:rPr>
              <w:t>6 de 10</w:t>
            </w:r>
            <w:r w:rsidR="005117FE" w:rsidRPr="00F01E8B">
              <w:rPr>
                <w:rFonts w:ascii="Arial" w:hAnsi="Arial" w:cs="Arial"/>
                <w:b/>
                <w:bCs/>
                <w:sz w:val="22"/>
                <w:szCs w:val="22"/>
              </w:rPr>
              <w:t xml:space="preserve"> estuvieron expuestos cada día</w:t>
            </w:r>
            <w:r w:rsidRPr="00F01E8B">
              <w:rPr>
                <w:rFonts w:ascii="Arial" w:hAnsi="Arial" w:cs="Arial"/>
                <w:b/>
                <w:bCs/>
                <w:sz w:val="22"/>
                <w:szCs w:val="22"/>
              </w:rPr>
              <w:t xml:space="preserve"> de </w:t>
            </w:r>
            <w:r w:rsidR="005117FE" w:rsidRPr="00F01E8B">
              <w:rPr>
                <w:rFonts w:ascii="Arial" w:hAnsi="Arial" w:cs="Arial"/>
                <w:b/>
                <w:bCs/>
                <w:sz w:val="22"/>
                <w:szCs w:val="22"/>
              </w:rPr>
              <w:t>1</w:t>
            </w:r>
            <w:r w:rsidRPr="00F01E8B">
              <w:rPr>
                <w:rFonts w:ascii="Arial" w:hAnsi="Arial" w:cs="Arial"/>
                <w:b/>
                <w:bCs/>
                <w:sz w:val="22"/>
                <w:szCs w:val="22"/>
              </w:rPr>
              <w:t xml:space="preserve"> a </w:t>
            </w:r>
            <w:r w:rsidR="005117FE" w:rsidRPr="00F01E8B">
              <w:rPr>
                <w:rFonts w:ascii="Arial" w:hAnsi="Arial" w:cs="Arial"/>
                <w:b/>
                <w:bCs/>
                <w:sz w:val="22"/>
                <w:szCs w:val="22"/>
              </w:rPr>
              <w:t>6 anuncios de alimentos y bebidas</w:t>
            </w:r>
            <w:r w:rsidR="005117FE" w:rsidRPr="00F01E8B">
              <w:rPr>
                <w:rFonts w:ascii="Arial" w:hAnsi="Arial" w:cs="Arial"/>
                <w:bCs/>
                <w:sz w:val="22"/>
                <w:szCs w:val="22"/>
              </w:rPr>
              <w:t>, principalmente de</w:t>
            </w:r>
            <w:r w:rsidR="005117FE" w:rsidRPr="00F01E8B">
              <w:rPr>
                <w:rFonts w:ascii="Arial" w:hAnsi="Arial" w:cs="Arial"/>
                <w:sz w:val="22"/>
                <w:szCs w:val="22"/>
              </w:rPr>
              <w:t xml:space="preserve"> refrescos, jugos con azúcar, comida rápida, chocolates, leches y helados</w:t>
            </w:r>
            <w:r w:rsidR="007F1D55" w:rsidRPr="00F01E8B">
              <w:rPr>
                <w:rFonts w:ascii="Arial" w:hAnsi="Arial" w:cs="Arial"/>
                <w:sz w:val="22"/>
                <w:szCs w:val="22"/>
              </w:rPr>
              <w:t>.</w:t>
            </w:r>
          </w:p>
        </w:tc>
      </w:tr>
      <w:tr w:rsidR="005117FE" w:rsidRPr="007F1D55" w14:paraId="26CAF979" w14:textId="77777777" w:rsidTr="00F01E8B">
        <w:tc>
          <w:tcPr>
            <w:tcW w:w="2207" w:type="dxa"/>
          </w:tcPr>
          <w:p w14:paraId="7A2632A0" w14:textId="77777777" w:rsidR="005117FE" w:rsidRPr="00F01E8B" w:rsidRDefault="005117FE" w:rsidP="00646816">
            <w:pPr>
              <w:spacing w:line="240" w:lineRule="atLeast"/>
              <w:rPr>
                <w:rFonts w:ascii="Arial" w:hAnsi="Arial" w:cs="Arial"/>
                <w:sz w:val="22"/>
                <w:szCs w:val="22"/>
              </w:rPr>
            </w:pPr>
            <w:r w:rsidRPr="00F01E8B">
              <w:rPr>
                <w:rFonts w:ascii="Arial" w:hAnsi="Arial" w:cs="Arial"/>
                <w:b/>
                <w:sz w:val="22"/>
                <w:szCs w:val="22"/>
              </w:rPr>
              <w:t>Aplicación Aprende en Casa</w:t>
            </w:r>
            <w:r w:rsidRPr="00F01E8B">
              <w:rPr>
                <w:rFonts w:ascii="Arial" w:hAnsi="Arial" w:cs="Arial"/>
                <w:sz w:val="22"/>
                <w:szCs w:val="22"/>
              </w:rPr>
              <w:t xml:space="preserve"> </w:t>
            </w:r>
            <w:r w:rsidRPr="00F01E8B">
              <w:rPr>
                <w:rFonts w:ascii="Arial" w:hAnsi="Arial" w:cs="Arial"/>
                <w:i/>
                <w:sz w:val="22"/>
                <w:szCs w:val="22"/>
              </w:rPr>
              <w:lastRenderedPageBreak/>
              <w:t xml:space="preserve">(desarrollado por </w:t>
            </w:r>
            <w:proofErr w:type="spellStart"/>
            <w:r w:rsidRPr="00F01E8B">
              <w:rPr>
                <w:rFonts w:ascii="Arial" w:hAnsi="Arial" w:cs="Arial"/>
                <w:i/>
                <w:sz w:val="22"/>
                <w:szCs w:val="22"/>
              </w:rPr>
              <w:t>MrZ</w:t>
            </w:r>
            <w:proofErr w:type="spellEnd"/>
            <w:r w:rsidRPr="00F01E8B">
              <w:rPr>
                <w:rFonts w:ascii="Arial" w:hAnsi="Arial" w:cs="Arial"/>
                <w:i/>
                <w:sz w:val="22"/>
                <w:szCs w:val="22"/>
              </w:rPr>
              <w:t>)</w:t>
            </w:r>
          </w:p>
        </w:tc>
        <w:tc>
          <w:tcPr>
            <w:tcW w:w="3458" w:type="dxa"/>
          </w:tcPr>
          <w:p w14:paraId="267117E4" w14:textId="1C51390B" w:rsidR="005117FE" w:rsidRPr="00F01E8B" w:rsidRDefault="005117FE">
            <w:pPr>
              <w:spacing w:line="240" w:lineRule="atLeast"/>
              <w:jc w:val="both"/>
              <w:rPr>
                <w:rFonts w:ascii="Arial" w:hAnsi="Arial" w:cs="Arial"/>
                <w:sz w:val="22"/>
                <w:szCs w:val="22"/>
              </w:rPr>
            </w:pPr>
            <w:r w:rsidRPr="00F01E8B">
              <w:rPr>
                <w:rFonts w:ascii="Arial" w:hAnsi="Arial" w:cs="Arial"/>
                <w:b/>
                <w:bCs/>
                <w:sz w:val="22"/>
                <w:szCs w:val="22"/>
              </w:rPr>
              <w:lastRenderedPageBreak/>
              <w:t>28.6%</w:t>
            </w:r>
            <w:r w:rsidRPr="00F01E8B">
              <w:rPr>
                <w:rFonts w:ascii="Arial" w:hAnsi="Arial" w:cs="Arial"/>
                <w:bCs/>
                <w:sz w:val="22"/>
                <w:szCs w:val="22"/>
              </w:rPr>
              <w:t xml:space="preserve"> estuvieron </w:t>
            </w:r>
            <w:r w:rsidRPr="00F01E8B">
              <w:rPr>
                <w:rFonts w:ascii="Arial" w:hAnsi="Arial" w:cs="Arial"/>
                <w:b/>
                <w:bCs/>
                <w:sz w:val="22"/>
                <w:szCs w:val="22"/>
              </w:rPr>
              <w:t xml:space="preserve">expuestos </w:t>
            </w:r>
            <w:r w:rsidR="00BE50BC" w:rsidRPr="00F01E8B">
              <w:rPr>
                <w:rFonts w:ascii="Arial" w:hAnsi="Arial" w:cs="Arial"/>
                <w:b/>
                <w:bCs/>
                <w:sz w:val="22"/>
                <w:szCs w:val="22"/>
              </w:rPr>
              <w:t xml:space="preserve">principalmente </w:t>
            </w:r>
            <w:r w:rsidRPr="00F01E8B">
              <w:rPr>
                <w:rFonts w:ascii="Arial" w:hAnsi="Arial" w:cs="Arial"/>
                <w:b/>
                <w:bCs/>
                <w:sz w:val="22"/>
                <w:szCs w:val="22"/>
              </w:rPr>
              <w:t xml:space="preserve">a publicidad de </w:t>
            </w:r>
            <w:r w:rsidRPr="00F01E8B">
              <w:rPr>
                <w:rFonts w:ascii="Arial" w:hAnsi="Arial" w:cs="Arial"/>
                <w:sz w:val="22"/>
                <w:szCs w:val="22"/>
              </w:rPr>
              <w:lastRenderedPageBreak/>
              <w:t>comida rápida, bebidas azucaradas y lácteos</w:t>
            </w:r>
            <w:r w:rsidR="007F1D55" w:rsidRPr="00F01E8B">
              <w:rPr>
                <w:rFonts w:ascii="Arial" w:hAnsi="Arial" w:cs="Arial"/>
                <w:sz w:val="22"/>
                <w:szCs w:val="22"/>
              </w:rPr>
              <w:t>.</w:t>
            </w:r>
          </w:p>
        </w:tc>
        <w:tc>
          <w:tcPr>
            <w:tcW w:w="3686" w:type="dxa"/>
          </w:tcPr>
          <w:p w14:paraId="49824CD9" w14:textId="730617D6" w:rsidR="005117FE" w:rsidRPr="00F01E8B" w:rsidRDefault="005117FE">
            <w:pPr>
              <w:spacing w:line="240" w:lineRule="atLeast"/>
              <w:jc w:val="both"/>
              <w:rPr>
                <w:rFonts w:ascii="Arial" w:hAnsi="Arial" w:cs="Arial"/>
                <w:sz w:val="22"/>
                <w:szCs w:val="22"/>
              </w:rPr>
            </w:pPr>
            <w:r w:rsidRPr="00F01E8B">
              <w:rPr>
                <w:rFonts w:ascii="Arial" w:hAnsi="Arial" w:cs="Arial"/>
                <w:b/>
                <w:bCs/>
                <w:sz w:val="22"/>
                <w:szCs w:val="22"/>
              </w:rPr>
              <w:lastRenderedPageBreak/>
              <w:t xml:space="preserve">22% estuvieron expuestos cada día </w:t>
            </w:r>
            <w:r w:rsidR="00BE50BC" w:rsidRPr="00F01E8B">
              <w:rPr>
                <w:rFonts w:ascii="Arial" w:hAnsi="Arial" w:cs="Arial"/>
                <w:b/>
                <w:bCs/>
                <w:sz w:val="22"/>
                <w:szCs w:val="22"/>
              </w:rPr>
              <w:t xml:space="preserve">entre </w:t>
            </w:r>
            <w:r w:rsidRPr="00F01E8B">
              <w:rPr>
                <w:rFonts w:ascii="Arial" w:hAnsi="Arial" w:cs="Arial"/>
                <w:b/>
                <w:bCs/>
                <w:sz w:val="22"/>
                <w:szCs w:val="22"/>
              </w:rPr>
              <w:t>1</w:t>
            </w:r>
            <w:r w:rsidR="00BE50BC" w:rsidRPr="00F01E8B">
              <w:rPr>
                <w:rFonts w:ascii="Arial" w:hAnsi="Arial" w:cs="Arial"/>
                <w:b/>
                <w:bCs/>
                <w:sz w:val="22"/>
                <w:szCs w:val="22"/>
              </w:rPr>
              <w:t xml:space="preserve"> y </w:t>
            </w:r>
            <w:r w:rsidRPr="00F01E8B">
              <w:rPr>
                <w:rFonts w:ascii="Arial" w:hAnsi="Arial" w:cs="Arial"/>
                <w:b/>
                <w:bCs/>
                <w:sz w:val="22"/>
                <w:szCs w:val="22"/>
              </w:rPr>
              <w:t>2 anuncios de alimentos</w:t>
            </w:r>
            <w:r w:rsidRPr="00F01E8B">
              <w:rPr>
                <w:rFonts w:ascii="Arial" w:hAnsi="Arial" w:cs="Arial"/>
                <w:bCs/>
                <w:sz w:val="22"/>
                <w:szCs w:val="22"/>
              </w:rPr>
              <w:t xml:space="preserve"> </w:t>
            </w:r>
            <w:r w:rsidRPr="00F01E8B">
              <w:rPr>
                <w:rFonts w:ascii="Arial" w:hAnsi="Arial" w:cs="Arial"/>
                <w:b/>
                <w:bCs/>
                <w:sz w:val="22"/>
                <w:szCs w:val="22"/>
              </w:rPr>
              <w:t>y bebidas</w:t>
            </w:r>
            <w:r w:rsidRPr="00F01E8B">
              <w:rPr>
                <w:rFonts w:ascii="Arial" w:hAnsi="Arial" w:cs="Arial"/>
                <w:bCs/>
                <w:sz w:val="22"/>
                <w:szCs w:val="22"/>
              </w:rPr>
              <w:t xml:space="preserve">, </w:t>
            </w:r>
            <w:r w:rsidRPr="00F01E8B">
              <w:rPr>
                <w:rFonts w:ascii="Arial" w:hAnsi="Arial" w:cs="Arial"/>
                <w:bCs/>
                <w:sz w:val="22"/>
                <w:szCs w:val="22"/>
              </w:rPr>
              <w:lastRenderedPageBreak/>
              <w:t xml:space="preserve">principalmente de </w:t>
            </w:r>
            <w:r w:rsidRPr="00F01E8B">
              <w:rPr>
                <w:rFonts w:ascii="Arial" w:hAnsi="Arial" w:cs="Arial"/>
                <w:sz w:val="22"/>
                <w:szCs w:val="22"/>
              </w:rPr>
              <w:t>lácteos, bebidas azucaradas, chocolates y galletas</w:t>
            </w:r>
            <w:r w:rsidR="007F1D55" w:rsidRPr="00F01E8B">
              <w:rPr>
                <w:rFonts w:ascii="Arial" w:hAnsi="Arial" w:cs="Arial"/>
                <w:sz w:val="22"/>
                <w:szCs w:val="22"/>
              </w:rPr>
              <w:t>.</w:t>
            </w:r>
          </w:p>
        </w:tc>
      </w:tr>
    </w:tbl>
    <w:p w14:paraId="22F97DB8" w14:textId="75DE753D" w:rsidR="005117FE" w:rsidRPr="007F1D55" w:rsidRDefault="005117FE">
      <w:pPr>
        <w:jc w:val="both"/>
        <w:rPr>
          <w:rFonts w:ascii="Arial" w:hAnsi="Arial" w:cs="Arial"/>
          <w:sz w:val="22"/>
          <w:szCs w:val="22"/>
        </w:rPr>
      </w:pPr>
    </w:p>
    <w:p w14:paraId="7782DCB9" w14:textId="06886180" w:rsidR="008C156B" w:rsidRPr="007F1D55" w:rsidRDefault="008C156B" w:rsidP="00DF387E">
      <w:pPr>
        <w:rPr>
          <w:rFonts w:ascii="Arial" w:hAnsi="Arial" w:cs="Arial"/>
          <w:sz w:val="22"/>
          <w:szCs w:val="22"/>
        </w:rPr>
      </w:pPr>
      <w:r w:rsidRPr="007F1D55">
        <w:rPr>
          <w:rFonts w:ascii="Arial" w:hAnsi="Arial" w:cs="Arial"/>
          <w:sz w:val="22"/>
          <w:szCs w:val="22"/>
        </w:rPr>
        <w:t xml:space="preserve">Los </w:t>
      </w:r>
      <w:r w:rsidR="00E71A72" w:rsidRPr="007F1D55">
        <w:rPr>
          <w:rFonts w:ascii="Arial" w:hAnsi="Arial" w:cs="Arial"/>
          <w:sz w:val="22"/>
          <w:szCs w:val="22"/>
        </w:rPr>
        <w:t xml:space="preserve">testimonios </w:t>
      </w:r>
      <w:r w:rsidRPr="007F1D55">
        <w:rPr>
          <w:rFonts w:ascii="Arial" w:hAnsi="Arial" w:cs="Arial"/>
          <w:sz w:val="22"/>
          <w:szCs w:val="22"/>
        </w:rPr>
        <w:t xml:space="preserve">por parte de los estudiantes que participaron en el estudio demuestran cómo es que se sienten atraídos por el tipo de publicidad </w:t>
      </w:r>
      <w:r w:rsidR="007F1D55">
        <w:rPr>
          <w:rFonts w:ascii="Arial" w:hAnsi="Arial" w:cs="Arial"/>
          <w:sz w:val="22"/>
          <w:szCs w:val="22"/>
        </w:rPr>
        <w:t xml:space="preserve">a </w:t>
      </w:r>
      <w:r w:rsidRPr="007F1D55">
        <w:rPr>
          <w:rFonts w:ascii="Arial" w:hAnsi="Arial" w:cs="Arial"/>
          <w:sz w:val="22"/>
          <w:szCs w:val="22"/>
        </w:rPr>
        <w:t>la que están expuestos en las plataformas educativas:</w:t>
      </w:r>
    </w:p>
    <w:p w14:paraId="39903B31" w14:textId="77777777" w:rsidR="008C156B" w:rsidRPr="007F1D55" w:rsidRDefault="008C156B" w:rsidP="00DF387E">
      <w:pPr>
        <w:rPr>
          <w:rFonts w:ascii="Arial" w:hAnsi="Arial" w:cs="Arial"/>
          <w:sz w:val="22"/>
          <w:szCs w:val="22"/>
        </w:rPr>
      </w:pPr>
    </w:p>
    <w:p w14:paraId="43E63C69" w14:textId="4AB40724" w:rsidR="00DF387E" w:rsidRPr="007F1D55" w:rsidRDefault="00DF387E" w:rsidP="007F1D55">
      <w:pPr>
        <w:jc w:val="both"/>
        <w:rPr>
          <w:rFonts w:ascii="Arial" w:hAnsi="Arial" w:cs="Arial"/>
          <w:sz w:val="22"/>
          <w:szCs w:val="22"/>
          <w:lang w:val="es-MX"/>
        </w:rPr>
      </w:pPr>
      <w:r w:rsidRPr="007F1D55">
        <w:rPr>
          <w:rFonts w:ascii="Arial" w:hAnsi="Arial" w:cs="Arial"/>
          <w:sz w:val="22"/>
          <w:szCs w:val="22"/>
        </w:rPr>
        <w:t xml:space="preserve"> “</w:t>
      </w:r>
      <w:r w:rsidRPr="007F1D55">
        <w:rPr>
          <w:rFonts w:ascii="Arial" w:hAnsi="Arial" w:cs="Arial"/>
          <w:i/>
          <w:iCs/>
          <w:sz w:val="22"/>
          <w:szCs w:val="22"/>
          <w:u w:val="single"/>
          <w:lang w:val="es-MX"/>
        </w:rPr>
        <w:t>No nos deben poner tantos productos de esos que no podemos consumir como refrescos</w:t>
      </w:r>
      <w:r w:rsidRPr="007F1D55">
        <w:rPr>
          <w:rFonts w:ascii="Arial" w:hAnsi="Arial" w:cs="Arial"/>
          <w:i/>
          <w:iCs/>
          <w:sz w:val="22"/>
          <w:szCs w:val="22"/>
          <w:lang w:val="es-MX"/>
        </w:rPr>
        <w:t xml:space="preserve">, </w:t>
      </w:r>
      <w:r w:rsidRPr="007F1D55">
        <w:rPr>
          <w:rFonts w:ascii="Arial" w:hAnsi="Arial" w:cs="Arial"/>
          <w:i/>
          <w:iCs/>
          <w:sz w:val="22"/>
          <w:szCs w:val="22"/>
          <w:u w:val="single"/>
          <w:lang w:val="es-MX"/>
        </w:rPr>
        <w:t xml:space="preserve">Coca Cola con etiquetas </w:t>
      </w:r>
      <w:r w:rsidRPr="007F1D55">
        <w:rPr>
          <w:rFonts w:ascii="Arial" w:hAnsi="Arial" w:cs="Arial"/>
          <w:i/>
          <w:iCs/>
          <w:sz w:val="22"/>
          <w:szCs w:val="22"/>
          <w:lang w:val="es-MX"/>
        </w:rPr>
        <w:t xml:space="preserve">y todo eso, porque hacen que nosotros mismos agarremos ello; que nos pongan cosas más saludables o algo adecuado”. (Estudiante de secundaria, Estado de Oaxaca, 2021). </w:t>
      </w:r>
    </w:p>
    <w:p w14:paraId="7244AC67" w14:textId="2E18A935" w:rsidR="00DF387E" w:rsidRPr="007F1D55" w:rsidRDefault="00DF387E">
      <w:pPr>
        <w:jc w:val="both"/>
        <w:rPr>
          <w:rFonts w:ascii="Arial" w:hAnsi="Arial" w:cs="Arial"/>
          <w:sz w:val="22"/>
          <w:szCs w:val="22"/>
          <w:lang w:val="es-MX"/>
        </w:rPr>
      </w:pPr>
    </w:p>
    <w:p w14:paraId="58BF940B" w14:textId="6BC01589" w:rsidR="008C156B" w:rsidRPr="007F1D55" w:rsidRDefault="008C156B" w:rsidP="008C156B">
      <w:pPr>
        <w:jc w:val="both"/>
        <w:rPr>
          <w:rFonts w:ascii="Arial" w:hAnsi="Arial" w:cs="Arial"/>
          <w:sz w:val="22"/>
          <w:szCs w:val="22"/>
          <w:lang w:val="es-MX"/>
        </w:rPr>
      </w:pPr>
      <w:r w:rsidRPr="007F1D55">
        <w:rPr>
          <w:rFonts w:ascii="Arial" w:hAnsi="Arial" w:cs="Arial"/>
          <w:i/>
          <w:iCs/>
          <w:sz w:val="22"/>
          <w:szCs w:val="22"/>
          <w:lang w:val="es-MX"/>
        </w:rPr>
        <w:t>“Yo les diría que en temas educativos deben quitar los anuncios para que no fueran una distracción para nosotros”. (Estudiante de secundaria, Estado de Oaxaca, 2021</w:t>
      </w:r>
      <w:r w:rsidR="00F01E8B">
        <w:rPr>
          <w:rFonts w:ascii="Arial" w:hAnsi="Arial" w:cs="Arial"/>
          <w:i/>
          <w:iCs/>
          <w:sz w:val="22"/>
          <w:szCs w:val="22"/>
          <w:lang w:val="es-MX"/>
        </w:rPr>
        <w:t>).</w:t>
      </w:r>
    </w:p>
    <w:p w14:paraId="5E635890" w14:textId="77777777" w:rsidR="00DF387E" w:rsidRPr="007F1D55" w:rsidRDefault="00DF387E" w:rsidP="007E53CE">
      <w:pPr>
        <w:jc w:val="both"/>
        <w:rPr>
          <w:rFonts w:ascii="Arial" w:hAnsi="Arial" w:cs="Arial"/>
          <w:sz w:val="22"/>
          <w:szCs w:val="22"/>
        </w:rPr>
      </w:pPr>
    </w:p>
    <w:p w14:paraId="42D55BFE" w14:textId="1891F6C2" w:rsidR="00F06787" w:rsidRPr="007F1D55" w:rsidRDefault="009076D8" w:rsidP="007E53CE">
      <w:pPr>
        <w:jc w:val="both"/>
        <w:rPr>
          <w:rFonts w:ascii="Arial" w:hAnsi="Arial" w:cs="Arial"/>
          <w:sz w:val="22"/>
          <w:szCs w:val="22"/>
        </w:rPr>
      </w:pPr>
      <w:r w:rsidRPr="007F1D55">
        <w:rPr>
          <w:rFonts w:ascii="Arial" w:hAnsi="Arial" w:cs="Arial"/>
          <w:sz w:val="22"/>
          <w:szCs w:val="22"/>
        </w:rPr>
        <w:t>La Or</w:t>
      </w:r>
      <w:r w:rsidR="00AF244A" w:rsidRPr="007F1D55">
        <w:rPr>
          <w:rFonts w:ascii="Arial" w:hAnsi="Arial" w:cs="Arial"/>
          <w:sz w:val="22"/>
          <w:szCs w:val="22"/>
        </w:rPr>
        <w:t>ganización Mundial de la Salud</w:t>
      </w:r>
      <w:r w:rsidR="00F82829" w:rsidRPr="007F1D55">
        <w:rPr>
          <w:rFonts w:ascii="Arial" w:hAnsi="Arial" w:cs="Arial"/>
          <w:sz w:val="22"/>
          <w:szCs w:val="22"/>
        </w:rPr>
        <w:t xml:space="preserve"> ha </w:t>
      </w:r>
      <w:r w:rsidRPr="007F1D55">
        <w:rPr>
          <w:rFonts w:ascii="Arial" w:hAnsi="Arial" w:cs="Arial"/>
          <w:sz w:val="22"/>
          <w:szCs w:val="22"/>
        </w:rPr>
        <w:t>destacado que la publicidad de alimentos de mala calidad, caracterizados por el exceso de calorías, azúcares, grasas y sodio, influyen en los gustos y preferencias a corto y largo plazo, contribuyendo al deterioro de los hábitos de alimentación.</w:t>
      </w:r>
      <w:r w:rsidRPr="007F1D55">
        <w:rPr>
          <w:rStyle w:val="Refdenotaalfinal"/>
          <w:rFonts w:ascii="Arial" w:hAnsi="Arial" w:cs="Arial"/>
          <w:sz w:val="22"/>
          <w:szCs w:val="22"/>
        </w:rPr>
        <w:endnoteReference w:id="1"/>
      </w:r>
      <w:r w:rsidRPr="007F1D55">
        <w:rPr>
          <w:rFonts w:ascii="Arial" w:hAnsi="Arial" w:cs="Arial"/>
          <w:sz w:val="22"/>
          <w:szCs w:val="22"/>
        </w:rPr>
        <w:t xml:space="preserve"> </w:t>
      </w:r>
    </w:p>
    <w:p w14:paraId="6AE642E6" w14:textId="77777777" w:rsidR="00F06787" w:rsidRPr="007F1D55" w:rsidRDefault="00F06787" w:rsidP="007E53CE">
      <w:pPr>
        <w:jc w:val="both"/>
        <w:rPr>
          <w:rFonts w:ascii="Arial" w:hAnsi="Arial" w:cs="Arial"/>
          <w:sz w:val="22"/>
          <w:szCs w:val="22"/>
        </w:rPr>
      </w:pPr>
    </w:p>
    <w:p w14:paraId="54E638DE" w14:textId="63CC6CBC" w:rsidR="00733E0C" w:rsidRPr="007F1D55" w:rsidRDefault="009076D8" w:rsidP="007E53CE">
      <w:pPr>
        <w:jc w:val="both"/>
        <w:rPr>
          <w:rFonts w:ascii="Arial" w:hAnsi="Arial" w:cs="Arial"/>
          <w:sz w:val="22"/>
          <w:szCs w:val="22"/>
        </w:rPr>
      </w:pPr>
      <w:r w:rsidRPr="007F1D55">
        <w:rPr>
          <w:rFonts w:ascii="Arial" w:hAnsi="Arial" w:cs="Arial"/>
          <w:sz w:val="22"/>
          <w:szCs w:val="22"/>
        </w:rPr>
        <w:t>Es importante resaltar que a</w:t>
      </w:r>
      <w:r w:rsidR="00733E0C" w:rsidRPr="007F1D55">
        <w:rPr>
          <w:rFonts w:ascii="Arial" w:hAnsi="Arial" w:cs="Arial"/>
          <w:sz w:val="22"/>
          <w:szCs w:val="22"/>
        </w:rPr>
        <w:t>ctualmente en México 1 de cada 3 niñas y niños en edad escolar viven con sobrepeso y obesidad,</w:t>
      </w:r>
      <w:r w:rsidR="00733E0C" w:rsidRPr="007F1D55">
        <w:rPr>
          <w:rStyle w:val="Refdenotaalfinal"/>
          <w:rFonts w:ascii="Arial" w:hAnsi="Arial" w:cs="Arial"/>
          <w:sz w:val="22"/>
          <w:szCs w:val="22"/>
        </w:rPr>
        <w:endnoteReference w:id="2"/>
      </w:r>
      <w:r w:rsidRPr="007F1D55">
        <w:rPr>
          <w:rFonts w:ascii="Arial" w:hAnsi="Arial" w:cs="Arial"/>
          <w:sz w:val="22"/>
          <w:szCs w:val="22"/>
        </w:rPr>
        <w:t xml:space="preserve"> </w:t>
      </w:r>
      <w:r w:rsidR="007F1D55" w:rsidRPr="007F1D55">
        <w:rPr>
          <w:rFonts w:ascii="Arial" w:hAnsi="Arial" w:cs="Arial"/>
          <w:sz w:val="22"/>
          <w:szCs w:val="22"/>
        </w:rPr>
        <w:t>y que</w:t>
      </w:r>
      <w:r w:rsidRPr="007F1D55">
        <w:rPr>
          <w:rFonts w:ascii="Arial" w:hAnsi="Arial" w:cs="Arial"/>
          <w:sz w:val="22"/>
          <w:szCs w:val="22"/>
        </w:rPr>
        <w:t xml:space="preserve"> u</w:t>
      </w:r>
      <w:r w:rsidR="00733E0C" w:rsidRPr="007F1D55">
        <w:rPr>
          <w:rFonts w:ascii="Arial" w:hAnsi="Arial" w:cs="Arial"/>
          <w:sz w:val="22"/>
          <w:szCs w:val="22"/>
        </w:rPr>
        <w:t>na tercera parte del total de la energía que consumen proviene de refrescos, pastelillos, jugos con azúcar, cereales de caja y comida chatarra en general.</w:t>
      </w:r>
      <w:r w:rsidR="00733E0C" w:rsidRPr="007F1D55">
        <w:rPr>
          <w:rStyle w:val="Refdenotaalfinal"/>
          <w:rFonts w:ascii="Arial" w:hAnsi="Arial" w:cs="Arial"/>
          <w:sz w:val="22"/>
          <w:szCs w:val="22"/>
        </w:rPr>
        <w:endnoteReference w:id="3"/>
      </w:r>
      <w:r w:rsidR="00733E0C" w:rsidRPr="007F1D55">
        <w:rPr>
          <w:rFonts w:ascii="Arial" w:hAnsi="Arial" w:cs="Arial"/>
          <w:sz w:val="22"/>
          <w:szCs w:val="22"/>
        </w:rPr>
        <w:t xml:space="preserve"> </w:t>
      </w:r>
    </w:p>
    <w:p w14:paraId="307F4947" w14:textId="77777777" w:rsidR="00F06787" w:rsidRPr="007F1D55" w:rsidRDefault="00F06787" w:rsidP="007E53CE">
      <w:pPr>
        <w:jc w:val="both"/>
        <w:rPr>
          <w:rFonts w:ascii="Arial" w:hAnsi="Arial" w:cs="Arial"/>
          <w:sz w:val="22"/>
          <w:szCs w:val="22"/>
        </w:rPr>
      </w:pPr>
    </w:p>
    <w:p w14:paraId="512D533D" w14:textId="3F90E9B7" w:rsidR="00AF244A" w:rsidRPr="007F1D55" w:rsidRDefault="00AF244A" w:rsidP="007E53CE">
      <w:pPr>
        <w:jc w:val="both"/>
        <w:rPr>
          <w:rFonts w:ascii="Arial" w:hAnsi="Arial" w:cs="Arial"/>
          <w:sz w:val="22"/>
          <w:szCs w:val="22"/>
          <w:lang w:val="es-MX"/>
        </w:rPr>
      </w:pPr>
      <w:r w:rsidRPr="007F1D55">
        <w:rPr>
          <w:rFonts w:ascii="Arial" w:hAnsi="Arial" w:cs="Arial"/>
          <w:sz w:val="22"/>
          <w:szCs w:val="22"/>
          <w:lang w:val="es-MX"/>
        </w:rPr>
        <w:t>“Las plataformas digitales educativas son los nuevos espacios de enseñanza, el estudio que realizamos en El Poder del Consumidor evidenció que, en una jornada escolar regular, niñas y niños ven hasta 20 anuncios de comida chatarra y bebidas azucaradas al día. Por lo que hacemos un llamado a las autoridades educativas para que protejan y garanticen el derecho a la salud y</w:t>
      </w:r>
      <w:r w:rsidR="007F1D55">
        <w:rPr>
          <w:rFonts w:ascii="Arial" w:hAnsi="Arial" w:cs="Arial"/>
          <w:sz w:val="22"/>
          <w:szCs w:val="22"/>
          <w:lang w:val="es-MX"/>
        </w:rPr>
        <w:t xml:space="preserve"> a una</w:t>
      </w:r>
      <w:r w:rsidRPr="007F1D55">
        <w:rPr>
          <w:rFonts w:ascii="Arial" w:hAnsi="Arial" w:cs="Arial"/>
          <w:sz w:val="22"/>
          <w:szCs w:val="22"/>
          <w:lang w:val="es-MX"/>
        </w:rPr>
        <w:t xml:space="preserve"> alimentación sana en cualquier contenido educativo oficial, sin importar la plataforma o privado que lo replique”, afirmó Liliana Bahena, coordinadora de la campaña Escuelas Saludables en El Poder del Consumidor. </w:t>
      </w:r>
    </w:p>
    <w:p w14:paraId="73EE2890" w14:textId="77777777" w:rsidR="00F06787" w:rsidRPr="007F1D55" w:rsidRDefault="00F06787" w:rsidP="007E53CE">
      <w:pPr>
        <w:spacing w:line="276" w:lineRule="auto"/>
        <w:jc w:val="both"/>
        <w:rPr>
          <w:rFonts w:ascii="Arial" w:hAnsi="Arial" w:cs="Arial"/>
          <w:sz w:val="22"/>
          <w:szCs w:val="22"/>
        </w:rPr>
      </w:pPr>
    </w:p>
    <w:p w14:paraId="3AA0D7DB" w14:textId="7487DFAF" w:rsidR="00F15AA3" w:rsidRPr="007F1D55" w:rsidRDefault="00F15AA3" w:rsidP="007E53CE">
      <w:pPr>
        <w:jc w:val="both"/>
        <w:rPr>
          <w:rFonts w:ascii="Arial" w:hAnsi="Arial" w:cs="Arial"/>
          <w:sz w:val="22"/>
          <w:szCs w:val="22"/>
        </w:rPr>
      </w:pPr>
      <w:r w:rsidRPr="00FA394D">
        <w:rPr>
          <w:rFonts w:ascii="Arial" w:hAnsi="Arial" w:cs="Arial"/>
          <w:sz w:val="22"/>
          <w:szCs w:val="22"/>
        </w:rPr>
        <w:t xml:space="preserve">Los espacios digitales en los que se difunden </w:t>
      </w:r>
      <w:r w:rsidRPr="00FA394D">
        <w:rPr>
          <w:rFonts w:ascii="Arial" w:hAnsi="Arial" w:cs="Arial"/>
          <w:b/>
          <w:sz w:val="22"/>
          <w:szCs w:val="22"/>
        </w:rPr>
        <w:t xml:space="preserve">los contenidos del programa </w:t>
      </w:r>
      <w:r w:rsidRPr="00FA394D">
        <w:rPr>
          <w:rFonts w:ascii="Arial" w:hAnsi="Arial" w:cs="Arial"/>
          <w:b/>
          <w:i/>
          <w:sz w:val="22"/>
          <w:szCs w:val="22"/>
        </w:rPr>
        <w:t>Aprende en Casa</w:t>
      </w:r>
      <w:r w:rsidRPr="00FA394D">
        <w:rPr>
          <w:rFonts w:ascii="Arial" w:hAnsi="Arial" w:cs="Arial"/>
          <w:b/>
          <w:sz w:val="22"/>
          <w:szCs w:val="22"/>
        </w:rPr>
        <w:t xml:space="preserve"> se han convertido en los nuevos espacios de enseñanza, asimilables legalmente a los planteles educativos</w:t>
      </w:r>
      <w:r w:rsidRPr="00FA394D">
        <w:rPr>
          <w:rFonts w:ascii="Arial" w:hAnsi="Arial" w:cs="Arial"/>
          <w:sz w:val="22"/>
          <w:szCs w:val="22"/>
        </w:rPr>
        <w:t xml:space="preserve">. </w:t>
      </w:r>
      <w:r w:rsidR="00F06787" w:rsidRPr="00FA394D">
        <w:rPr>
          <w:rFonts w:ascii="Arial" w:hAnsi="Arial" w:cs="Arial"/>
          <w:sz w:val="22"/>
          <w:szCs w:val="22"/>
        </w:rPr>
        <w:t>Por lo que estos deben protegerse</w:t>
      </w:r>
      <w:r w:rsidRPr="00FA394D">
        <w:rPr>
          <w:rFonts w:ascii="Arial" w:hAnsi="Arial" w:cs="Arial"/>
          <w:sz w:val="22"/>
          <w:szCs w:val="22"/>
        </w:rPr>
        <w:t xml:space="preserve"> bajo los mismos estándares de la Ley General de </w:t>
      </w:r>
      <w:r w:rsidR="0020196D" w:rsidRPr="00FA394D">
        <w:rPr>
          <w:rFonts w:ascii="Arial" w:hAnsi="Arial" w:cs="Arial"/>
          <w:sz w:val="22"/>
          <w:szCs w:val="22"/>
        </w:rPr>
        <w:t>Educación</w:t>
      </w:r>
      <w:r w:rsidRPr="00FA394D">
        <w:rPr>
          <w:rFonts w:ascii="Arial" w:hAnsi="Arial" w:cs="Arial"/>
          <w:sz w:val="22"/>
          <w:szCs w:val="22"/>
        </w:rPr>
        <w:t>, la cual prohí</w:t>
      </w:r>
      <w:r w:rsidR="00F06787" w:rsidRPr="00FA394D">
        <w:rPr>
          <w:rFonts w:ascii="Arial" w:hAnsi="Arial" w:cs="Arial"/>
          <w:sz w:val="22"/>
          <w:szCs w:val="22"/>
        </w:rPr>
        <w:t>be todo tipo publicidad en los centros educativos,</w:t>
      </w:r>
      <w:r w:rsidRPr="00FA394D">
        <w:rPr>
          <w:rFonts w:ascii="Arial" w:hAnsi="Arial" w:cs="Arial"/>
          <w:sz w:val="22"/>
          <w:szCs w:val="22"/>
        </w:rPr>
        <w:t xml:space="preserve"> incluida la publicidad de alimentos con bajo valor nutritivo cuya venta estaría prohibida dentro de las escuelas. </w:t>
      </w:r>
      <w:r w:rsidR="00FA394D" w:rsidRPr="00FA394D">
        <w:rPr>
          <w:rFonts w:ascii="Arial" w:hAnsi="Arial" w:cs="Arial"/>
          <w:sz w:val="22"/>
          <w:szCs w:val="22"/>
          <w:vertAlign w:val="superscript"/>
        </w:rPr>
        <w:t>4</w:t>
      </w:r>
    </w:p>
    <w:p w14:paraId="488CF887" w14:textId="77777777" w:rsidR="00F06787" w:rsidRPr="007F1D55" w:rsidRDefault="00F06787" w:rsidP="00646816">
      <w:pPr>
        <w:jc w:val="both"/>
        <w:rPr>
          <w:rFonts w:ascii="Arial" w:hAnsi="Arial" w:cs="Arial"/>
          <w:sz w:val="22"/>
          <w:szCs w:val="22"/>
        </w:rPr>
      </w:pPr>
    </w:p>
    <w:p w14:paraId="3E636C6E" w14:textId="4EB172A7" w:rsidR="00F36907" w:rsidRPr="007F1D55" w:rsidRDefault="00AF244A" w:rsidP="00646816">
      <w:pPr>
        <w:jc w:val="both"/>
        <w:rPr>
          <w:rFonts w:ascii="Arial" w:hAnsi="Arial" w:cs="Arial"/>
          <w:sz w:val="22"/>
          <w:szCs w:val="22"/>
        </w:rPr>
      </w:pPr>
      <w:r w:rsidRPr="007F1D55">
        <w:rPr>
          <w:rFonts w:ascii="Arial" w:hAnsi="Arial" w:cs="Arial"/>
          <w:sz w:val="22"/>
          <w:szCs w:val="22"/>
        </w:rPr>
        <w:t xml:space="preserve">Al respecto, </w:t>
      </w:r>
      <w:r w:rsidR="00E71A72" w:rsidRPr="007F1D55">
        <w:rPr>
          <w:rFonts w:ascii="Arial" w:hAnsi="Arial" w:cs="Arial"/>
          <w:sz w:val="22"/>
          <w:szCs w:val="22"/>
        </w:rPr>
        <w:t>Javier Zúñiga</w:t>
      </w:r>
      <w:r w:rsidR="009076D8" w:rsidRPr="007F1D55">
        <w:rPr>
          <w:rFonts w:ascii="Arial" w:hAnsi="Arial" w:cs="Arial"/>
          <w:sz w:val="22"/>
          <w:szCs w:val="22"/>
        </w:rPr>
        <w:t>, coordinador del área legal en El Poder del Consumidor</w:t>
      </w:r>
      <w:r w:rsidR="007F1D55">
        <w:rPr>
          <w:rFonts w:ascii="Arial" w:hAnsi="Arial" w:cs="Arial"/>
          <w:sz w:val="22"/>
          <w:szCs w:val="22"/>
        </w:rPr>
        <w:t>,</w:t>
      </w:r>
      <w:r w:rsidR="009076D8" w:rsidRPr="007F1D55">
        <w:rPr>
          <w:rFonts w:ascii="Arial" w:hAnsi="Arial" w:cs="Arial"/>
          <w:sz w:val="22"/>
          <w:szCs w:val="22"/>
        </w:rPr>
        <w:t xml:space="preserve"> afirmó que “</w:t>
      </w:r>
      <w:r w:rsidR="00F36907" w:rsidRPr="007F1D55">
        <w:rPr>
          <w:rFonts w:ascii="Arial" w:hAnsi="Arial" w:cs="Arial"/>
          <w:sz w:val="22"/>
          <w:szCs w:val="22"/>
        </w:rPr>
        <w:t xml:space="preserve">en el contexto de la pandemia, los espacios virtuales, ya sea mediante canales de difusión de materiales educativos como las plataformas de aprendizaje, deben ser equiparados a los nuevos salones de clase. Por lo cual, es obligación tanto de la SEP como de los particulares respetar las prohibiciones de exhibir publicidad a las </w:t>
      </w:r>
      <w:r w:rsidR="009076D8" w:rsidRPr="007F1D55">
        <w:rPr>
          <w:rFonts w:ascii="Arial" w:hAnsi="Arial" w:cs="Arial"/>
          <w:sz w:val="22"/>
          <w:szCs w:val="22"/>
        </w:rPr>
        <w:t xml:space="preserve">niñas, niños y adolescentes. </w:t>
      </w:r>
      <w:r w:rsidR="00F36907" w:rsidRPr="007F1D55">
        <w:rPr>
          <w:rFonts w:ascii="Arial" w:hAnsi="Arial" w:cs="Arial"/>
          <w:sz w:val="22"/>
          <w:szCs w:val="22"/>
        </w:rPr>
        <w:t>Es necesario que lo que muestra el estudio (una sobreexposición a la publicidad de comida chatarra a los y las menores) se entienda como una violación a sus derechos a la sa</w:t>
      </w:r>
      <w:r w:rsidR="009076D8" w:rsidRPr="007F1D55">
        <w:rPr>
          <w:rFonts w:ascii="Arial" w:hAnsi="Arial" w:cs="Arial"/>
          <w:sz w:val="22"/>
          <w:szCs w:val="22"/>
        </w:rPr>
        <w:t>lud, alimentación y educación”</w:t>
      </w:r>
      <w:r w:rsidR="007F1D55">
        <w:rPr>
          <w:rFonts w:ascii="Arial" w:hAnsi="Arial" w:cs="Arial"/>
          <w:sz w:val="22"/>
          <w:szCs w:val="22"/>
        </w:rPr>
        <w:t>.</w:t>
      </w:r>
    </w:p>
    <w:p w14:paraId="2FECCDB2" w14:textId="77777777" w:rsidR="00AF244A" w:rsidRPr="007F1D55" w:rsidRDefault="00AF244A" w:rsidP="007E53CE">
      <w:pPr>
        <w:spacing w:line="276" w:lineRule="auto"/>
        <w:jc w:val="both"/>
        <w:rPr>
          <w:rFonts w:ascii="Arial" w:hAnsi="Arial" w:cs="Arial"/>
          <w:b/>
          <w:sz w:val="22"/>
          <w:szCs w:val="22"/>
          <w:highlight w:val="yellow"/>
        </w:rPr>
      </w:pPr>
    </w:p>
    <w:p w14:paraId="2C310F9D" w14:textId="77777777" w:rsidR="00F01E8B" w:rsidRDefault="007F1D55" w:rsidP="007F1D55">
      <w:pPr>
        <w:spacing w:line="276" w:lineRule="auto"/>
        <w:jc w:val="both"/>
        <w:rPr>
          <w:rFonts w:ascii="Arial" w:hAnsi="Arial" w:cs="Arial"/>
          <w:bCs/>
          <w:sz w:val="22"/>
        </w:rPr>
      </w:pPr>
      <w:r w:rsidRPr="007F1D55">
        <w:rPr>
          <w:rFonts w:ascii="Arial" w:hAnsi="Arial" w:cs="Arial"/>
          <w:sz w:val="22"/>
        </w:rPr>
        <w:t>Por su parte Juan Martín Pérez, Director Ejecutivo de la Red por los Derechos de la Infancia en México, declaró:</w:t>
      </w:r>
      <w:r w:rsidRPr="007F1D55">
        <w:rPr>
          <w:rFonts w:ascii="Arial" w:hAnsi="Arial" w:cs="Arial"/>
          <w:b/>
          <w:sz w:val="22"/>
        </w:rPr>
        <w:t xml:space="preserve"> “</w:t>
      </w:r>
      <w:r w:rsidRPr="007F1D55">
        <w:rPr>
          <w:rFonts w:ascii="Arial" w:hAnsi="Arial" w:cs="Arial"/>
          <w:bCs/>
          <w:sz w:val="22"/>
        </w:rPr>
        <w:t xml:space="preserve">Resulta fundamental recordar que los contenidos curriculares, así como aquellos que aparecen en los entornos educativos (presenciales y virtuales), forman parte de la </w:t>
      </w:r>
    </w:p>
    <w:p w14:paraId="7706C385" w14:textId="77777777" w:rsidR="00F01E8B" w:rsidRDefault="00F01E8B" w:rsidP="007F1D55">
      <w:pPr>
        <w:spacing w:line="276" w:lineRule="auto"/>
        <w:jc w:val="both"/>
        <w:rPr>
          <w:rFonts w:ascii="Arial" w:hAnsi="Arial" w:cs="Arial"/>
          <w:bCs/>
          <w:sz w:val="22"/>
        </w:rPr>
      </w:pPr>
    </w:p>
    <w:p w14:paraId="1F105126" w14:textId="7130C51C" w:rsidR="007F1D55" w:rsidRPr="007F1D55" w:rsidRDefault="007F1D55" w:rsidP="007F1D55">
      <w:pPr>
        <w:spacing w:line="276" w:lineRule="auto"/>
        <w:jc w:val="both"/>
        <w:rPr>
          <w:rFonts w:ascii="Arial" w:hAnsi="Arial" w:cs="Arial"/>
          <w:b/>
          <w:sz w:val="22"/>
        </w:rPr>
      </w:pPr>
      <w:r w:rsidRPr="007F1D55">
        <w:rPr>
          <w:rFonts w:ascii="Arial" w:hAnsi="Arial" w:cs="Arial"/>
          <w:bCs/>
          <w:sz w:val="22"/>
        </w:rPr>
        <w:t xml:space="preserve">provisión de servicios educativos que deben ser comprendidos como la garantía del derecho a la educación, pero también a los derechos a la salud y a la alimentación en un sentido de integralidad entre éstos. Visto así, no se trata de un asunto adjetivo o al margen de los contenidos, sino consustancial a la experiencia educativa que actualmente viven millones de niñas, niños y adolescentes en el país. La progresividad en la protección y garantía de derechos es la clave de comprensión para ubicar que es deber del Estado mexicano regular también esta actividad publicitaria, pues desatender esta tarea podría implicar algún grado de regresividad en los avances logrados. En un país con altos </w:t>
      </w:r>
      <w:r w:rsidR="00F01E8B">
        <w:rPr>
          <w:rFonts w:ascii="Arial" w:hAnsi="Arial" w:cs="Arial"/>
          <w:bCs/>
          <w:sz w:val="22"/>
        </w:rPr>
        <w:t xml:space="preserve">índices </w:t>
      </w:r>
      <w:r w:rsidRPr="007F1D55">
        <w:rPr>
          <w:rFonts w:ascii="Arial" w:hAnsi="Arial" w:cs="Arial"/>
          <w:bCs/>
          <w:sz w:val="22"/>
        </w:rPr>
        <w:t>de obesidad y sobrepeso infantil, acciones como ésta pueden representar una importante labor de prevención en la profundización de este problema”.</w:t>
      </w:r>
    </w:p>
    <w:p w14:paraId="65A0AEFF" w14:textId="77777777" w:rsidR="00F06787" w:rsidRPr="007F1D55" w:rsidRDefault="00F06787" w:rsidP="007E53CE">
      <w:pPr>
        <w:spacing w:line="276" w:lineRule="auto"/>
        <w:jc w:val="both"/>
        <w:rPr>
          <w:rFonts w:ascii="Arial" w:hAnsi="Arial" w:cs="Arial"/>
          <w:b/>
          <w:sz w:val="22"/>
          <w:szCs w:val="22"/>
        </w:rPr>
      </w:pPr>
    </w:p>
    <w:p w14:paraId="2621C45B" w14:textId="0D6210A0" w:rsidR="005117FE" w:rsidRPr="007F1D55" w:rsidRDefault="00F15AA3" w:rsidP="007E53CE">
      <w:pPr>
        <w:jc w:val="both"/>
        <w:rPr>
          <w:rFonts w:ascii="Arial" w:hAnsi="Arial" w:cs="Arial"/>
          <w:b/>
          <w:bCs/>
          <w:sz w:val="22"/>
          <w:szCs w:val="22"/>
          <w:lang w:val="es-MX"/>
        </w:rPr>
      </w:pPr>
      <w:r w:rsidRPr="007F1D55">
        <w:rPr>
          <w:rFonts w:ascii="Arial" w:hAnsi="Arial" w:cs="Arial"/>
          <w:sz w:val="22"/>
          <w:szCs w:val="22"/>
        </w:rPr>
        <w:t>El Poder del Consumidor hizo llegar a la titular de la Secretaría de Educación Pública, la Mtra. Delfina Gómez, el pasado 21 de abril una carta para hacer de su conocimie</w:t>
      </w:r>
      <w:r w:rsidR="00F06787" w:rsidRPr="007F1D55">
        <w:rPr>
          <w:rFonts w:ascii="Arial" w:hAnsi="Arial" w:cs="Arial"/>
          <w:sz w:val="22"/>
          <w:szCs w:val="22"/>
        </w:rPr>
        <w:t xml:space="preserve">nto los resultados del estudio, así como las siguientes recomendaciones para proteger la salud de niñas, niños y adolescentes: </w:t>
      </w:r>
      <w:r w:rsidR="005117FE" w:rsidRPr="007F1D55">
        <w:rPr>
          <w:rFonts w:ascii="Arial" w:hAnsi="Arial" w:cs="Arial"/>
          <w:b/>
          <w:bCs/>
          <w:sz w:val="22"/>
          <w:szCs w:val="22"/>
          <w:lang w:val="es-MX"/>
        </w:rPr>
        <w:t xml:space="preserve"> </w:t>
      </w:r>
    </w:p>
    <w:p w14:paraId="4B05D0C5" w14:textId="77777777" w:rsidR="00F06787" w:rsidRPr="007F1D55" w:rsidRDefault="00F06787" w:rsidP="007E53CE">
      <w:pPr>
        <w:jc w:val="both"/>
        <w:rPr>
          <w:rFonts w:ascii="Arial" w:hAnsi="Arial" w:cs="Arial"/>
          <w:b/>
          <w:bCs/>
          <w:sz w:val="22"/>
          <w:szCs w:val="22"/>
          <w:lang w:val="es-MX"/>
        </w:rPr>
      </w:pPr>
    </w:p>
    <w:p w14:paraId="78769253" w14:textId="2C5C8795" w:rsidR="005117FE" w:rsidRPr="007F1D55" w:rsidRDefault="005117FE" w:rsidP="007E53CE">
      <w:pPr>
        <w:numPr>
          <w:ilvl w:val="0"/>
          <w:numId w:val="1"/>
        </w:numPr>
        <w:jc w:val="both"/>
        <w:rPr>
          <w:rFonts w:ascii="Arial" w:hAnsi="Arial" w:cs="Arial"/>
          <w:sz w:val="22"/>
          <w:szCs w:val="22"/>
          <w:lang w:val="es-MX"/>
        </w:rPr>
      </w:pPr>
      <w:r w:rsidRPr="007F1D55">
        <w:rPr>
          <w:rFonts w:ascii="Arial" w:hAnsi="Arial" w:cs="Arial"/>
          <w:sz w:val="22"/>
          <w:szCs w:val="22"/>
          <w:lang w:val="es-MX"/>
        </w:rPr>
        <w:t xml:space="preserve">Restringir toda la publicidad de </w:t>
      </w:r>
      <w:r w:rsidR="00FB17A4" w:rsidRPr="007F1D55">
        <w:rPr>
          <w:rFonts w:ascii="Arial" w:hAnsi="Arial" w:cs="Arial"/>
          <w:sz w:val="22"/>
          <w:szCs w:val="22"/>
          <w:lang w:val="es-MX"/>
        </w:rPr>
        <w:t xml:space="preserve">productos </w:t>
      </w:r>
      <w:r w:rsidRPr="007F1D55">
        <w:rPr>
          <w:rFonts w:ascii="Arial" w:hAnsi="Arial" w:cs="Arial"/>
          <w:sz w:val="22"/>
          <w:szCs w:val="22"/>
          <w:lang w:val="es-MX"/>
        </w:rPr>
        <w:t>en las plataformas y contenidos educativos oficiales</w:t>
      </w:r>
      <w:r w:rsidR="00FB17A4" w:rsidRPr="007F1D55">
        <w:rPr>
          <w:rFonts w:ascii="Arial" w:hAnsi="Arial" w:cs="Arial"/>
          <w:sz w:val="22"/>
          <w:szCs w:val="22"/>
          <w:lang w:val="es-MX"/>
        </w:rPr>
        <w:t xml:space="preserve"> y, de manera especial, de alimentos y bebidas no saludables</w:t>
      </w:r>
      <w:r w:rsidRPr="007F1D55">
        <w:rPr>
          <w:rFonts w:ascii="Arial" w:hAnsi="Arial" w:cs="Arial"/>
          <w:sz w:val="22"/>
          <w:szCs w:val="22"/>
          <w:lang w:val="es-MX"/>
        </w:rPr>
        <w:t xml:space="preserve">. </w:t>
      </w:r>
    </w:p>
    <w:p w14:paraId="77D8797D" w14:textId="77777777" w:rsidR="005117FE" w:rsidRPr="007F1D55" w:rsidRDefault="005117FE" w:rsidP="007E53CE">
      <w:pPr>
        <w:numPr>
          <w:ilvl w:val="0"/>
          <w:numId w:val="1"/>
        </w:numPr>
        <w:jc w:val="both"/>
        <w:rPr>
          <w:rFonts w:ascii="Arial" w:hAnsi="Arial" w:cs="Arial"/>
          <w:sz w:val="22"/>
          <w:szCs w:val="22"/>
          <w:lang w:val="es-MX"/>
        </w:rPr>
      </w:pPr>
      <w:r w:rsidRPr="007F1D55">
        <w:rPr>
          <w:rFonts w:ascii="Arial" w:hAnsi="Arial" w:cs="Arial"/>
          <w:sz w:val="22"/>
          <w:szCs w:val="22"/>
          <w:lang w:val="es-MX"/>
        </w:rPr>
        <w:t>Prohibir las diversas prácticas publicitarias dirigidas a los infantes por medio de cualquier contenido oficial educativo.</w:t>
      </w:r>
    </w:p>
    <w:p w14:paraId="46B9B841" w14:textId="77777777" w:rsidR="005117FE" w:rsidRPr="007F1D55" w:rsidRDefault="005117FE" w:rsidP="007E53CE">
      <w:pPr>
        <w:numPr>
          <w:ilvl w:val="0"/>
          <w:numId w:val="1"/>
        </w:numPr>
        <w:jc w:val="both"/>
        <w:rPr>
          <w:rFonts w:ascii="Arial" w:hAnsi="Arial" w:cs="Arial"/>
          <w:sz w:val="22"/>
          <w:szCs w:val="22"/>
          <w:lang w:val="es-MX"/>
        </w:rPr>
      </w:pPr>
      <w:r w:rsidRPr="007F1D55">
        <w:rPr>
          <w:rFonts w:ascii="Arial" w:hAnsi="Arial" w:cs="Arial"/>
          <w:sz w:val="22"/>
          <w:szCs w:val="22"/>
          <w:lang w:val="es-MX"/>
        </w:rPr>
        <w:t xml:space="preserve">Garantizar el acceso y contenido educativo en plataformas digitales oficiales de </w:t>
      </w:r>
      <w:r w:rsidRPr="007F1D55">
        <w:rPr>
          <w:rFonts w:ascii="Arial" w:hAnsi="Arial" w:cs="Arial"/>
          <w:i/>
          <w:sz w:val="22"/>
          <w:szCs w:val="22"/>
          <w:lang w:val="es-MX"/>
        </w:rPr>
        <w:t>Aprende en Casa</w:t>
      </w:r>
      <w:r w:rsidRPr="007F1D55">
        <w:rPr>
          <w:rFonts w:ascii="Arial" w:hAnsi="Arial" w:cs="Arial"/>
          <w:sz w:val="22"/>
          <w:szCs w:val="22"/>
          <w:lang w:val="es-MX"/>
        </w:rPr>
        <w:t xml:space="preserve"> para educación secundaria y bachillerato. </w:t>
      </w:r>
    </w:p>
    <w:p w14:paraId="5DDE7B97" w14:textId="77777777" w:rsidR="005117FE" w:rsidRPr="007F1D55" w:rsidRDefault="005117FE" w:rsidP="007E53CE">
      <w:pPr>
        <w:numPr>
          <w:ilvl w:val="0"/>
          <w:numId w:val="1"/>
        </w:numPr>
        <w:jc w:val="both"/>
        <w:rPr>
          <w:rFonts w:ascii="Arial" w:hAnsi="Arial" w:cs="Arial"/>
          <w:sz w:val="22"/>
          <w:szCs w:val="22"/>
          <w:lang w:val="es-MX"/>
        </w:rPr>
      </w:pPr>
      <w:r w:rsidRPr="007F1D55">
        <w:rPr>
          <w:rFonts w:ascii="Arial" w:hAnsi="Arial" w:cs="Arial"/>
          <w:sz w:val="22"/>
          <w:szCs w:val="22"/>
          <w:lang w:val="es-MX"/>
        </w:rPr>
        <w:t>Asegurar impartir contenidos y transmitir mensajes que fomenten hábitos de vida saludable.</w:t>
      </w:r>
    </w:p>
    <w:p w14:paraId="3B3831DD" w14:textId="77777777" w:rsidR="005117FE" w:rsidRPr="007F1D55" w:rsidRDefault="005117FE" w:rsidP="007E53CE">
      <w:pPr>
        <w:numPr>
          <w:ilvl w:val="0"/>
          <w:numId w:val="1"/>
        </w:numPr>
        <w:jc w:val="both"/>
        <w:rPr>
          <w:rFonts w:ascii="Arial" w:hAnsi="Arial" w:cs="Arial"/>
          <w:sz w:val="22"/>
          <w:szCs w:val="22"/>
          <w:lang w:val="es-MX"/>
        </w:rPr>
      </w:pPr>
      <w:r w:rsidRPr="007F1D55">
        <w:rPr>
          <w:rFonts w:ascii="Arial" w:hAnsi="Arial" w:cs="Arial"/>
          <w:sz w:val="22"/>
          <w:szCs w:val="22"/>
          <w:lang w:val="es-MX"/>
        </w:rPr>
        <w:t>Incorporar contenido en materia de derechos de la infancia a la información, y las afectaciones del consumismo y la publicidad en la sociedad.</w:t>
      </w:r>
    </w:p>
    <w:p w14:paraId="557EC9B7" w14:textId="77777777" w:rsidR="000771A7" w:rsidRPr="007F1D55" w:rsidRDefault="00941F8F" w:rsidP="005117FE">
      <w:pPr>
        <w:spacing w:after="120"/>
        <w:jc w:val="both"/>
        <w:rPr>
          <w:rFonts w:ascii="Arial" w:hAnsi="Arial" w:cs="Arial"/>
          <w:b/>
          <w:sz w:val="22"/>
          <w:szCs w:val="22"/>
        </w:rPr>
      </w:pPr>
      <w:r w:rsidRPr="007F1D55" w:rsidDel="00941F8F">
        <w:rPr>
          <w:rFonts w:ascii="Arial" w:hAnsi="Arial" w:cs="Arial"/>
          <w:b/>
          <w:sz w:val="22"/>
          <w:szCs w:val="22"/>
        </w:rPr>
        <w:t xml:space="preserve"> </w:t>
      </w:r>
    </w:p>
    <w:p w14:paraId="73BC1CC4" w14:textId="52EF3D9D" w:rsidR="00F01E8B" w:rsidRPr="007F1D55" w:rsidRDefault="000771A7" w:rsidP="005117FE">
      <w:pPr>
        <w:spacing w:after="120"/>
        <w:jc w:val="both"/>
        <w:rPr>
          <w:rFonts w:ascii="Arial" w:hAnsi="Arial" w:cs="Arial"/>
          <w:b/>
          <w:sz w:val="22"/>
          <w:szCs w:val="22"/>
        </w:rPr>
      </w:pPr>
      <w:r w:rsidRPr="007F1D55">
        <w:rPr>
          <w:rFonts w:ascii="Arial" w:hAnsi="Arial" w:cs="Arial"/>
          <w:b/>
          <w:sz w:val="22"/>
          <w:szCs w:val="22"/>
        </w:rPr>
        <w:t xml:space="preserve">En este enlace se puede recuperar la conferencia de prensa: </w:t>
      </w:r>
      <w:hyperlink r:id="rId8" w:history="1">
        <w:r w:rsidR="00F01E8B" w:rsidRPr="00F01E8B">
          <w:rPr>
            <w:rStyle w:val="Hipervnculo"/>
            <w:rFonts w:ascii="Arial" w:hAnsi="Arial" w:cs="Arial"/>
            <w:sz w:val="22"/>
            <w:szCs w:val="22"/>
          </w:rPr>
          <w:t>https://www.facebook.com/122688667765305/videos/164756348890967</w:t>
        </w:r>
      </w:hyperlink>
    </w:p>
    <w:p w14:paraId="22624126" w14:textId="3F1B8CCC" w:rsidR="00F01E8B" w:rsidRPr="00F01E8B" w:rsidRDefault="00E55825" w:rsidP="005117FE">
      <w:pPr>
        <w:spacing w:after="120"/>
        <w:jc w:val="both"/>
        <w:rPr>
          <w:rFonts w:ascii="Arial" w:hAnsi="Arial" w:cs="Arial"/>
          <w:sz w:val="22"/>
          <w:szCs w:val="22"/>
        </w:rPr>
      </w:pPr>
      <w:r w:rsidRPr="007F1D55">
        <w:rPr>
          <w:rFonts w:ascii="Arial" w:hAnsi="Arial" w:cs="Arial"/>
          <w:b/>
          <w:sz w:val="22"/>
          <w:szCs w:val="22"/>
        </w:rPr>
        <w:t xml:space="preserve">Conoce el video de los resultados: </w:t>
      </w:r>
      <w:hyperlink r:id="rId9" w:history="1">
        <w:r w:rsidR="00F01E8B" w:rsidRPr="00384B01">
          <w:rPr>
            <w:rStyle w:val="Hipervnculo"/>
            <w:rFonts w:ascii="Arial" w:hAnsi="Arial" w:cs="Arial"/>
            <w:sz w:val="22"/>
            <w:szCs w:val="22"/>
          </w:rPr>
          <w:t>https://youtu.be/JNcjnPCCTpw</w:t>
        </w:r>
      </w:hyperlink>
    </w:p>
    <w:p w14:paraId="280C9787" w14:textId="77777777" w:rsidR="000771A7" w:rsidRPr="007F1D55" w:rsidRDefault="000771A7" w:rsidP="005117FE">
      <w:pPr>
        <w:spacing w:after="120"/>
        <w:jc w:val="both"/>
        <w:rPr>
          <w:rFonts w:ascii="Arial" w:hAnsi="Arial" w:cs="Arial"/>
          <w:b/>
          <w:sz w:val="22"/>
          <w:szCs w:val="22"/>
        </w:rPr>
      </w:pPr>
      <w:r w:rsidRPr="007F1D55">
        <w:rPr>
          <w:rFonts w:ascii="Arial" w:hAnsi="Arial" w:cs="Arial"/>
          <w:b/>
          <w:sz w:val="22"/>
          <w:szCs w:val="22"/>
        </w:rPr>
        <w:t>Anexos:</w:t>
      </w:r>
    </w:p>
    <w:p w14:paraId="44E4AA25" w14:textId="77777777" w:rsidR="000771A7" w:rsidRPr="00F01E8B" w:rsidRDefault="000771A7" w:rsidP="007E53CE">
      <w:pPr>
        <w:pStyle w:val="Prrafodelista"/>
        <w:numPr>
          <w:ilvl w:val="0"/>
          <w:numId w:val="3"/>
        </w:numPr>
        <w:rPr>
          <w:rFonts w:ascii="Arial" w:hAnsi="Arial" w:cs="Arial"/>
          <w:sz w:val="22"/>
          <w:szCs w:val="22"/>
        </w:rPr>
      </w:pPr>
      <w:r w:rsidRPr="00F01E8B">
        <w:rPr>
          <w:rFonts w:ascii="Arial" w:hAnsi="Arial" w:cs="Arial"/>
          <w:sz w:val="22"/>
          <w:szCs w:val="22"/>
        </w:rPr>
        <w:t>Presentación del estudio exploratorio</w:t>
      </w:r>
    </w:p>
    <w:p w14:paraId="68780C40" w14:textId="1EF54301" w:rsidR="004E3FBD" w:rsidRPr="00F01E8B" w:rsidRDefault="000771A7" w:rsidP="007E53CE">
      <w:pPr>
        <w:pStyle w:val="Prrafodelista"/>
        <w:numPr>
          <w:ilvl w:val="0"/>
          <w:numId w:val="3"/>
        </w:numPr>
        <w:rPr>
          <w:rFonts w:ascii="Arial" w:hAnsi="Arial" w:cs="Arial"/>
          <w:sz w:val="22"/>
          <w:szCs w:val="22"/>
          <w:lang w:val="es-MX"/>
        </w:rPr>
      </w:pPr>
      <w:r w:rsidRPr="00F01E8B">
        <w:rPr>
          <w:rFonts w:ascii="Arial" w:hAnsi="Arial" w:cs="Arial"/>
          <w:sz w:val="22"/>
          <w:szCs w:val="22"/>
        </w:rPr>
        <w:t>Carta enviada a la SEP</w:t>
      </w:r>
    </w:p>
    <w:p w14:paraId="42184F7C" w14:textId="0014B240" w:rsidR="00F01E8B" w:rsidRDefault="00F01E8B" w:rsidP="00F01E8B">
      <w:pPr>
        <w:rPr>
          <w:rFonts w:ascii="Arial" w:hAnsi="Arial" w:cs="Arial"/>
          <w:sz w:val="22"/>
          <w:szCs w:val="22"/>
          <w:lang w:val="es-MX"/>
        </w:rPr>
      </w:pPr>
    </w:p>
    <w:p w14:paraId="3506E96A" w14:textId="653548C5" w:rsidR="00F01E8B" w:rsidRDefault="00F01E8B" w:rsidP="00F01E8B">
      <w:pPr>
        <w:rPr>
          <w:rFonts w:ascii="Arial" w:hAnsi="Arial" w:cs="Arial"/>
          <w:sz w:val="22"/>
          <w:szCs w:val="22"/>
          <w:lang w:val="es-MX"/>
        </w:rPr>
      </w:pPr>
    </w:p>
    <w:p w14:paraId="2FB72573" w14:textId="77777777" w:rsidR="00F01E8B" w:rsidRPr="00F01E8B" w:rsidRDefault="00F01E8B" w:rsidP="00F01E8B">
      <w:pPr>
        <w:rPr>
          <w:rFonts w:ascii="Arial" w:hAnsi="Arial" w:cs="Arial"/>
          <w:b/>
          <w:sz w:val="22"/>
          <w:lang w:val="es-MX"/>
        </w:rPr>
      </w:pPr>
      <w:r w:rsidRPr="00F01E8B">
        <w:rPr>
          <w:rFonts w:ascii="Arial" w:hAnsi="Arial" w:cs="Arial"/>
          <w:b/>
          <w:sz w:val="22"/>
          <w:lang w:val="es-MX"/>
        </w:rPr>
        <w:t xml:space="preserve">Contacto prensa: </w:t>
      </w:r>
      <w:r w:rsidRPr="00F01E8B">
        <w:rPr>
          <w:rFonts w:ascii="Arial" w:hAnsi="Arial" w:cs="Arial"/>
          <w:b/>
          <w:sz w:val="22"/>
          <w:lang w:val="es-MX"/>
        </w:rPr>
        <w:br/>
      </w:r>
      <w:r w:rsidRPr="00F01E8B">
        <w:rPr>
          <w:rFonts w:ascii="Arial" w:hAnsi="Arial" w:cs="Arial"/>
          <w:sz w:val="22"/>
          <w:lang w:val="es-MX"/>
        </w:rPr>
        <w:t xml:space="preserve">Rosa Elena Luna  55-2271-5686; </w:t>
      </w:r>
      <w:r w:rsidRPr="00F01E8B">
        <w:rPr>
          <w:rFonts w:ascii="Arial" w:hAnsi="Arial" w:cs="Arial"/>
          <w:sz w:val="22"/>
          <w:lang w:val="es-MX"/>
        </w:rPr>
        <w:br/>
        <w:t xml:space="preserve">Diana Turner cel. 55-8580-6525; </w:t>
      </w:r>
      <w:r w:rsidRPr="00F01E8B">
        <w:rPr>
          <w:rFonts w:ascii="Arial" w:hAnsi="Arial" w:cs="Arial"/>
          <w:sz w:val="22"/>
          <w:lang w:val="es-MX"/>
        </w:rPr>
        <w:br/>
        <w:t>Denise Rojas cel. 55-1298-9928.</w:t>
      </w:r>
    </w:p>
    <w:p w14:paraId="48359D0F" w14:textId="77777777" w:rsidR="00F01E8B" w:rsidRPr="00F01E8B" w:rsidRDefault="00F01E8B" w:rsidP="00F01E8B">
      <w:pPr>
        <w:rPr>
          <w:rFonts w:ascii="Arial" w:hAnsi="Arial" w:cs="Arial"/>
          <w:sz w:val="22"/>
          <w:szCs w:val="22"/>
          <w:lang w:val="es-MX"/>
        </w:rPr>
      </w:pPr>
    </w:p>
    <w:sectPr w:rsidR="00F01E8B" w:rsidRPr="00F01E8B" w:rsidSect="00F01E8B">
      <w:headerReference w:type="default" r:id="rId10"/>
      <w:footerReference w:type="default" r:id="rId11"/>
      <w:endnotePr>
        <w:numFmt w:val="decimal"/>
      </w:endnotePr>
      <w:pgSz w:w="12240" w:h="15840"/>
      <w:pgMar w:top="1418" w:right="1418" w:bottom="1418" w:left="1418" w:header="102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B0640" w14:textId="77777777" w:rsidR="00A47509" w:rsidRDefault="00A47509" w:rsidP="00ED17F4">
      <w:r>
        <w:separator/>
      </w:r>
    </w:p>
  </w:endnote>
  <w:endnote w:type="continuationSeparator" w:id="0">
    <w:p w14:paraId="11230708" w14:textId="77777777" w:rsidR="00A47509" w:rsidRDefault="00A47509" w:rsidP="00ED17F4">
      <w:r>
        <w:continuationSeparator/>
      </w:r>
    </w:p>
  </w:endnote>
  <w:endnote w:id="1">
    <w:p w14:paraId="06307A68" w14:textId="77777777" w:rsidR="009076D8" w:rsidRPr="00003C69" w:rsidRDefault="009076D8" w:rsidP="009076D8">
      <w:pPr>
        <w:pStyle w:val="Textonotaalfinal"/>
        <w:jc w:val="both"/>
        <w:rPr>
          <w:rFonts w:asciiTheme="minorHAnsi" w:hAnsiTheme="minorHAnsi" w:cstheme="minorHAnsi"/>
          <w:sz w:val="12"/>
          <w:szCs w:val="12"/>
        </w:rPr>
      </w:pPr>
      <w:r w:rsidRPr="00003C69">
        <w:rPr>
          <w:rStyle w:val="Refdenotaalfinal"/>
          <w:rFonts w:asciiTheme="minorHAnsi" w:hAnsiTheme="minorHAnsi" w:cstheme="minorHAnsi"/>
          <w:sz w:val="12"/>
          <w:szCs w:val="12"/>
        </w:rPr>
        <w:endnoteRef/>
      </w:r>
      <w:r w:rsidRPr="00003C69">
        <w:rPr>
          <w:rFonts w:asciiTheme="minorHAnsi" w:hAnsiTheme="minorHAnsi" w:cstheme="minorHAnsi"/>
          <w:sz w:val="12"/>
          <w:szCs w:val="12"/>
          <w:lang w:val="en-AU"/>
        </w:rPr>
        <w:t xml:space="preserve"> </w:t>
      </w:r>
      <w:r w:rsidRPr="00003C69">
        <w:rPr>
          <w:rFonts w:asciiTheme="minorHAnsi" w:hAnsiTheme="minorHAnsi" w:cstheme="minorHAnsi"/>
          <w:noProof/>
          <w:color w:val="000000" w:themeColor="text1"/>
          <w:sz w:val="12"/>
          <w:szCs w:val="12"/>
          <w:lang w:val="en-AU"/>
        </w:rPr>
        <w:t xml:space="preserve">World Health Organization. Tackling food marketing to children in a digital world: trans-disciplinary perspectives Children’s rights, evidence of impact, methodological challenges, regulatory options and policy implications for the WHO European Region. </w:t>
      </w:r>
      <w:r w:rsidRPr="00003C69">
        <w:rPr>
          <w:rFonts w:asciiTheme="minorHAnsi" w:hAnsiTheme="minorHAnsi" w:cstheme="minorHAnsi"/>
          <w:noProof/>
          <w:color w:val="000000" w:themeColor="text1"/>
          <w:sz w:val="12"/>
          <w:szCs w:val="12"/>
        </w:rPr>
        <w:t>2016; Disponible en: http://www.euro.who.int/pubrequest</w:t>
      </w:r>
    </w:p>
  </w:endnote>
  <w:endnote w:id="2">
    <w:p w14:paraId="56401B34" w14:textId="77777777" w:rsidR="00733E0C" w:rsidRPr="00003C69" w:rsidRDefault="00733E0C" w:rsidP="00733E0C">
      <w:pPr>
        <w:widowControl w:val="0"/>
        <w:autoSpaceDE w:val="0"/>
        <w:autoSpaceDN w:val="0"/>
        <w:adjustRightInd w:val="0"/>
        <w:jc w:val="both"/>
        <w:rPr>
          <w:rFonts w:asciiTheme="minorHAnsi" w:hAnsiTheme="minorHAnsi" w:cstheme="minorHAnsi"/>
          <w:noProof/>
          <w:color w:val="000000" w:themeColor="text1"/>
          <w:sz w:val="12"/>
          <w:szCs w:val="12"/>
        </w:rPr>
      </w:pPr>
      <w:r w:rsidRPr="00003C69">
        <w:rPr>
          <w:rStyle w:val="Refdenotaalfinal"/>
          <w:rFonts w:asciiTheme="minorHAnsi" w:hAnsiTheme="minorHAnsi" w:cstheme="minorHAnsi"/>
          <w:sz w:val="12"/>
          <w:szCs w:val="12"/>
        </w:rPr>
        <w:endnoteRef/>
      </w:r>
      <w:r w:rsidRPr="00003C69">
        <w:rPr>
          <w:rFonts w:asciiTheme="minorHAnsi" w:hAnsiTheme="minorHAnsi" w:cstheme="minorHAnsi"/>
          <w:sz w:val="12"/>
          <w:szCs w:val="12"/>
        </w:rPr>
        <w:t xml:space="preserve"> </w:t>
      </w:r>
      <w:r w:rsidRPr="00003C69">
        <w:rPr>
          <w:rFonts w:asciiTheme="minorHAnsi" w:hAnsiTheme="minorHAnsi" w:cstheme="minorHAnsi"/>
          <w:noProof/>
          <w:color w:val="000000" w:themeColor="text1"/>
          <w:sz w:val="12"/>
          <w:szCs w:val="12"/>
        </w:rPr>
        <w:t xml:space="preserve">Shamah-Levy T, Vielma-Orozco E, Heredia-Hernández O, Romero-Martínez M, Mojica-Cuevas J, Cuevas-Nasu L, Santaella-Castell JA R-DJ. Encuesta Nacional de Salud y Nutrición 2018-2019 [Internet]. Encuesta Nacional de Salud y Nutrición 2018-2019. Ciudad de Máxico; 2020. Disponible en: </w:t>
      </w:r>
      <w:hyperlink r:id="rId1" w:history="1">
        <w:r w:rsidRPr="00003C69">
          <w:rPr>
            <w:rStyle w:val="Hipervnculo"/>
            <w:rFonts w:asciiTheme="minorHAnsi" w:hAnsiTheme="minorHAnsi" w:cstheme="minorHAnsi"/>
            <w:noProof/>
            <w:sz w:val="12"/>
            <w:szCs w:val="12"/>
          </w:rPr>
          <w:t>https://ensanut.insp.mx/encuestas/ensanut2018/doctos/informes/ensanut_2018_informe_final.pdf</w:t>
        </w:r>
      </w:hyperlink>
      <w:r w:rsidRPr="00003C69">
        <w:rPr>
          <w:rFonts w:asciiTheme="minorHAnsi" w:hAnsiTheme="minorHAnsi" w:cstheme="minorHAnsi"/>
          <w:noProof/>
          <w:color w:val="000000" w:themeColor="text1"/>
          <w:sz w:val="12"/>
          <w:szCs w:val="12"/>
        </w:rPr>
        <w:t xml:space="preserve"> </w:t>
      </w:r>
    </w:p>
  </w:endnote>
  <w:endnote w:id="3">
    <w:p w14:paraId="7460809D" w14:textId="1B9D21A8" w:rsidR="00733E0C" w:rsidRDefault="00733E0C" w:rsidP="00733E0C">
      <w:pPr>
        <w:pStyle w:val="Textonotaalfinal"/>
        <w:jc w:val="both"/>
        <w:rPr>
          <w:rFonts w:asciiTheme="minorHAnsi" w:hAnsiTheme="minorHAnsi" w:cstheme="minorHAnsi"/>
          <w:noProof/>
          <w:color w:val="000000" w:themeColor="text1"/>
          <w:sz w:val="12"/>
          <w:szCs w:val="12"/>
          <w:lang w:val="en-GB"/>
        </w:rPr>
      </w:pPr>
      <w:r w:rsidRPr="00003C69">
        <w:rPr>
          <w:rStyle w:val="Refdenotaalfinal"/>
          <w:rFonts w:asciiTheme="minorHAnsi" w:hAnsiTheme="minorHAnsi" w:cstheme="minorHAnsi"/>
          <w:sz w:val="12"/>
          <w:szCs w:val="12"/>
        </w:rPr>
        <w:endnoteRef/>
      </w:r>
      <w:r w:rsidRPr="00003C69">
        <w:rPr>
          <w:rFonts w:asciiTheme="minorHAnsi" w:hAnsiTheme="minorHAnsi" w:cstheme="minorHAnsi"/>
          <w:sz w:val="12"/>
          <w:szCs w:val="12"/>
          <w:lang w:val="en-AU"/>
        </w:rPr>
        <w:t xml:space="preserve"> </w:t>
      </w:r>
      <w:r w:rsidRPr="00003C69">
        <w:rPr>
          <w:rFonts w:asciiTheme="minorHAnsi" w:hAnsiTheme="minorHAnsi" w:cstheme="minorHAnsi"/>
          <w:noProof/>
          <w:color w:val="000000" w:themeColor="text1"/>
          <w:sz w:val="12"/>
          <w:szCs w:val="12"/>
          <w:lang w:val="en-AU"/>
        </w:rPr>
        <w:t xml:space="preserve">Marrón-Ponce JA, Sánchez-Pimienta TG, Da Costa Louzada ML, Batis C. Energy contribution of NOVA food groups and sociodemographic determinants of ultra-processed food consumption in the Mexican population. </w:t>
      </w:r>
      <w:r w:rsidRPr="00BB5A99">
        <w:rPr>
          <w:rFonts w:asciiTheme="minorHAnsi" w:hAnsiTheme="minorHAnsi" w:cstheme="minorHAnsi"/>
          <w:noProof/>
          <w:color w:val="000000" w:themeColor="text1"/>
          <w:sz w:val="12"/>
          <w:szCs w:val="12"/>
          <w:lang w:val="en-GB"/>
        </w:rPr>
        <w:t>Public Health Nutr. 2018;21(1):87–93.</w:t>
      </w:r>
    </w:p>
    <w:p w14:paraId="7620DEDA" w14:textId="7D3A0DB5" w:rsidR="00FA394D" w:rsidRPr="00FA394D" w:rsidRDefault="00FA394D" w:rsidP="00733E0C">
      <w:pPr>
        <w:pStyle w:val="Textonotaalfinal"/>
        <w:jc w:val="both"/>
        <w:rPr>
          <w:rFonts w:asciiTheme="minorHAnsi" w:hAnsiTheme="minorHAnsi" w:cstheme="minorHAnsi"/>
          <w:sz w:val="12"/>
          <w:szCs w:val="12"/>
          <w:lang w:val="es-MX"/>
        </w:rPr>
      </w:pPr>
      <w:r w:rsidRPr="00FA394D">
        <w:rPr>
          <w:rFonts w:asciiTheme="minorHAnsi" w:hAnsiTheme="minorHAnsi" w:cstheme="minorHAnsi"/>
          <w:sz w:val="12"/>
          <w:szCs w:val="12"/>
          <w:vertAlign w:val="superscript"/>
          <w:lang w:val="es-MX"/>
        </w:rPr>
        <w:t>4</w:t>
      </w:r>
      <w:r>
        <w:rPr>
          <w:rFonts w:asciiTheme="minorHAnsi" w:hAnsiTheme="minorHAnsi" w:cstheme="minorHAnsi"/>
          <w:sz w:val="12"/>
          <w:szCs w:val="12"/>
          <w:lang w:val="es-MX"/>
        </w:rPr>
        <w:t xml:space="preserve"> </w:t>
      </w:r>
      <w:r w:rsidRPr="00614382">
        <w:rPr>
          <w:rFonts w:asciiTheme="minorHAnsi" w:hAnsiTheme="minorHAnsi" w:cstheme="minorHAnsi"/>
          <w:sz w:val="12"/>
          <w:szCs w:val="12"/>
        </w:rPr>
        <w:t>Ley General de Educación, artículos 75 y 170, fracción VIII.</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4F5F" w14:textId="77777777" w:rsidR="00AB0FAF" w:rsidRDefault="00AB0FAF">
    <w:pPr>
      <w:pStyle w:val="Piedepgina"/>
    </w:pPr>
  </w:p>
  <w:p w14:paraId="4F5ECBAD" w14:textId="77777777" w:rsidR="00AB0FAF" w:rsidRDefault="00AB0F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572FC" w14:textId="77777777" w:rsidR="00A47509" w:rsidRDefault="00A47509" w:rsidP="00ED17F4">
      <w:r>
        <w:separator/>
      </w:r>
    </w:p>
  </w:footnote>
  <w:footnote w:type="continuationSeparator" w:id="0">
    <w:p w14:paraId="02F452B7" w14:textId="77777777" w:rsidR="00A47509" w:rsidRDefault="00A47509" w:rsidP="00ED1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C9EF" w14:textId="05FD2475" w:rsidR="00AB0FAF" w:rsidRDefault="00F01E8B" w:rsidP="009E43E6">
    <w:pPr>
      <w:pStyle w:val="Encabezado"/>
      <w:tabs>
        <w:tab w:val="clear" w:pos="8838"/>
      </w:tabs>
      <w:ind w:right="49"/>
    </w:pPr>
    <w:r>
      <w:rPr>
        <w:noProof/>
      </w:rPr>
      <w:drawing>
        <wp:anchor distT="0" distB="0" distL="114300" distR="114300" simplePos="0" relativeHeight="251659264" behindDoc="1" locked="0" layoutInCell="1" allowOverlap="1" wp14:anchorId="5B6C4B68" wp14:editId="424421BE">
          <wp:simplePos x="0" y="0"/>
          <wp:positionH relativeFrom="column">
            <wp:posOffset>1858945</wp:posOffset>
          </wp:positionH>
          <wp:positionV relativeFrom="paragraph">
            <wp:posOffset>-412625</wp:posOffset>
          </wp:positionV>
          <wp:extent cx="2159635" cy="673100"/>
          <wp:effectExtent l="0" t="0" r="0" b="0"/>
          <wp:wrapTight wrapText="bothSides">
            <wp:wrapPolygon edited="0">
              <wp:start x="9273" y="0"/>
              <wp:lineTo x="6097" y="2853"/>
              <wp:lineTo x="6097" y="6521"/>
              <wp:lineTo x="6986" y="6928"/>
              <wp:lineTo x="7113" y="10189"/>
              <wp:lineTo x="10797" y="13042"/>
              <wp:lineTo x="0" y="16709"/>
              <wp:lineTo x="0" y="21192"/>
              <wp:lineTo x="21467" y="21192"/>
              <wp:lineTo x="21467" y="16709"/>
              <wp:lineTo x="14099" y="9781"/>
              <wp:lineTo x="14226" y="6928"/>
              <wp:lineTo x="15243" y="6521"/>
              <wp:lineTo x="15243" y="2445"/>
              <wp:lineTo x="11940" y="0"/>
              <wp:lineTo x="9273"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EPC.png"/>
                  <pic:cNvPicPr/>
                </pic:nvPicPr>
                <pic:blipFill>
                  <a:blip r:embed="rId1"/>
                  <a:stretch>
                    <a:fillRect/>
                  </a:stretch>
                </pic:blipFill>
                <pic:spPr>
                  <a:xfrm>
                    <a:off x="0" y="0"/>
                    <a:ext cx="2159635" cy="673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72D"/>
    <w:multiLevelType w:val="hybridMultilevel"/>
    <w:tmpl w:val="EC785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1C15F3"/>
    <w:multiLevelType w:val="hybridMultilevel"/>
    <w:tmpl w:val="69CC4420"/>
    <w:lvl w:ilvl="0" w:tplc="CE482B9C">
      <w:start w:val="1"/>
      <w:numFmt w:val="decimal"/>
      <w:lvlText w:val="%1)"/>
      <w:lvlJc w:val="left"/>
      <w:pPr>
        <w:tabs>
          <w:tab w:val="num" w:pos="720"/>
        </w:tabs>
        <w:ind w:left="720" w:hanging="360"/>
      </w:pPr>
    </w:lvl>
    <w:lvl w:ilvl="1" w:tplc="4A10D6B6" w:tentative="1">
      <w:start w:val="1"/>
      <w:numFmt w:val="decimal"/>
      <w:lvlText w:val="%2)"/>
      <w:lvlJc w:val="left"/>
      <w:pPr>
        <w:tabs>
          <w:tab w:val="num" w:pos="1440"/>
        </w:tabs>
        <w:ind w:left="1440" w:hanging="360"/>
      </w:pPr>
    </w:lvl>
    <w:lvl w:ilvl="2" w:tplc="A048659E" w:tentative="1">
      <w:start w:val="1"/>
      <w:numFmt w:val="decimal"/>
      <w:lvlText w:val="%3)"/>
      <w:lvlJc w:val="left"/>
      <w:pPr>
        <w:tabs>
          <w:tab w:val="num" w:pos="2160"/>
        </w:tabs>
        <w:ind w:left="2160" w:hanging="360"/>
      </w:pPr>
    </w:lvl>
    <w:lvl w:ilvl="3" w:tplc="BCC0AD2E" w:tentative="1">
      <w:start w:val="1"/>
      <w:numFmt w:val="decimal"/>
      <w:lvlText w:val="%4)"/>
      <w:lvlJc w:val="left"/>
      <w:pPr>
        <w:tabs>
          <w:tab w:val="num" w:pos="2880"/>
        </w:tabs>
        <w:ind w:left="2880" w:hanging="360"/>
      </w:pPr>
    </w:lvl>
    <w:lvl w:ilvl="4" w:tplc="70E47B8C" w:tentative="1">
      <w:start w:val="1"/>
      <w:numFmt w:val="decimal"/>
      <w:lvlText w:val="%5)"/>
      <w:lvlJc w:val="left"/>
      <w:pPr>
        <w:tabs>
          <w:tab w:val="num" w:pos="3600"/>
        </w:tabs>
        <w:ind w:left="3600" w:hanging="360"/>
      </w:pPr>
    </w:lvl>
    <w:lvl w:ilvl="5" w:tplc="4BB270E0" w:tentative="1">
      <w:start w:val="1"/>
      <w:numFmt w:val="decimal"/>
      <w:lvlText w:val="%6)"/>
      <w:lvlJc w:val="left"/>
      <w:pPr>
        <w:tabs>
          <w:tab w:val="num" w:pos="4320"/>
        </w:tabs>
        <w:ind w:left="4320" w:hanging="360"/>
      </w:pPr>
    </w:lvl>
    <w:lvl w:ilvl="6" w:tplc="9C82D828" w:tentative="1">
      <w:start w:val="1"/>
      <w:numFmt w:val="decimal"/>
      <w:lvlText w:val="%7)"/>
      <w:lvlJc w:val="left"/>
      <w:pPr>
        <w:tabs>
          <w:tab w:val="num" w:pos="5040"/>
        </w:tabs>
        <w:ind w:left="5040" w:hanging="360"/>
      </w:pPr>
    </w:lvl>
    <w:lvl w:ilvl="7" w:tplc="203C1A04" w:tentative="1">
      <w:start w:val="1"/>
      <w:numFmt w:val="decimal"/>
      <w:lvlText w:val="%8)"/>
      <w:lvlJc w:val="left"/>
      <w:pPr>
        <w:tabs>
          <w:tab w:val="num" w:pos="5760"/>
        </w:tabs>
        <w:ind w:left="5760" w:hanging="360"/>
      </w:pPr>
    </w:lvl>
    <w:lvl w:ilvl="8" w:tplc="49DE5582" w:tentative="1">
      <w:start w:val="1"/>
      <w:numFmt w:val="decimal"/>
      <w:lvlText w:val="%9)"/>
      <w:lvlJc w:val="left"/>
      <w:pPr>
        <w:tabs>
          <w:tab w:val="num" w:pos="6480"/>
        </w:tabs>
        <w:ind w:left="6480" w:hanging="360"/>
      </w:pPr>
    </w:lvl>
  </w:abstractNum>
  <w:abstractNum w:abstractNumId="2" w15:restartNumberingAfterBreak="0">
    <w:nsid w:val="4286442A"/>
    <w:multiLevelType w:val="hybridMultilevel"/>
    <w:tmpl w:val="C6345EE4"/>
    <w:lvl w:ilvl="0" w:tplc="7562AC5C">
      <w:start w:val="28"/>
      <w:numFmt w:val="bullet"/>
      <w:lvlText w:val="-"/>
      <w:lvlJc w:val="left"/>
      <w:pPr>
        <w:ind w:left="720" w:hanging="360"/>
      </w:pPr>
      <w:rPr>
        <w:rFonts w:ascii="Calibri" w:eastAsia="Times New Roman" w:hAnsi="Calibri" w:cs="Calibr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7F4"/>
    <w:rsid w:val="00033AF6"/>
    <w:rsid w:val="00054606"/>
    <w:rsid w:val="00055F91"/>
    <w:rsid w:val="00071B2F"/>
    <w:rsid w:val="000771A7"/>
    <w:rsid w:val="00082E8A"/>
    <w:rsid w:val="00083066"/>
    <w:rsid w:val="00131DC0"/>
    <w:rsid w:val="00191442"/>
    <w:rsid w:val="001F583D"/>
    <w:rsid w:val="0020196D"/>
    <w:rsid w:val="00203856"/>
    <w:rsid w:val="00240938"/>
    <w:rsid w:val="0028176C"/>
    <w:rsid w:val="003155EF"/>
    <w:rsid w:val="00356FC0"/>
    <w:rsid w:val="00376178"/>
    <w:rsid w:val="00380475"/>
    <w:rsid w:val="00393DC5"/>
    <w:rsid w:val="003A48BC"/>
    <w:rsid w:val="00424D40"/>
    <w:rsid w:val="0043462D"/>
    <w:rsid w:val="00437FF3"/>
    <w:rsid w:val="00477CD7"/>
    <w:rsid w:val="004955CD"/>
    <w:rsid w:val="004B6508"/>
    <w:rsid w:val="004E3FBD"/>
    <w:rsid w:val="005117FE"/>
    <w:rsid w:val="00516F60"/>
    <w:rsid w:val="00530473"/>
    <w:rsid w:val="00541990"/>
    <w:rsid w:val="00587E10"/>
    <w:rsid w:val="005A2B67"/>
    <w:rsid w:val="005E1837"/>
    <w:rsid w:val="0061008D"/>
    <w:rsid w:val="0064222F"/>
    <w:rsid w:val="00646816"/>
    <w:rsid w:val="00647207"/>
    <w:rsid w:val="00666E1D"/>
    <w:rsid w:val="006E6069"/>
    <w:rsid w:val="006F0240"/>
    <w:rsid w:val="006F1A1B"/>
    <w:rsid w:val="0073383A"/>
    <w:rsid w:val="00733E0C"/>
    <w:rsid w:val="00791795"/>
    <w:rsid w:val="0079234F"/>
    <w:rsid w:val="007B54DE"/>
    <w:rsid w:val="007E53CE"/>
    <w:rsid w:val="007F1D55"/>
    <w:rsid w:val="00804646"/>
    <w:rsid w:val="0081569B"/>
    <w:rsid w:val="008C156B"/>
    <w:rsid w:val="009076D8"/>
    <w:rsid w:val="00941F8F"/>
    <w:rsid w:val="00944E6B"/>
    <w:rsid w:val="009E43E6"/>
    <w:rsid w:val="009E4724"/>
    <w:rsid w:val="00A47509"/>
    <w:rsid w:val="00A5085C"/>
    <w:rsid w:val="00A73E2D"/>
    <w:rsid w:val="00A75636"/>
    <w:rsid w:val="00AB0FAF"/>
    <w:rsid w:val="00AE52B3"/>
    <w:rsid w:val="00AF244A"/>
    <w:rsid w:val="00B268B1"/>
    <w:rsid w:val="00B44E58"/>
    <w:rsid w:val="00BC0E07"/>
    <w:rsid w:val="00BE235F"/>
    <w:rsid w:val="00BE50BC"/>
    <w:rsid w:val="00C0509A"/>
    <w:rsid w:val="00C36488"/>
    <w:rsid w:val="00C37C25"/>
    <w:rsid w:val="00C46D8E"/>
    <w:rsid w:val="00C57689"/>
    <w:rsid w:val="00C72EC8"/>
    <w:rsid w:val="00CC5025"/>
    <w:rsid w:val="00CE0CEF"/>
    <w:rsid w:val="00CE4C31"/>
    <w:rsid w:val="00CF6DDD"/>
    <w:rsid w:val="00D47F05"/>
    <w:rsid w:val="00D62DBE"/>
    <w:rsid w:val="00D725F3"/>
    <w:rsid w:val="00D86AE7"/>
    <w:rsid w:val="00DC1FA7"/>
    <w:rsid w:val="00DE3A87"/>
    <w:rsid w:val="00DF387E"/>
    <w:rsid w:val="00E10C13"/>
    <w:rsid w:val="00E55825"/>
    <w:rsid w:val="00E60774"/>
    <w:rsid w:val="00E6625A"/>
    <w:rsid w:val="00E71A72"/>
    <w:rsid w:val="00E927CA"/>
    <w:rsid w:val="00EA4784"/>
    <w:rsid w:val="00ED17F4"/>
    <w:rsid w:val="00EF09BF"/>
    <w:rsid w:val="00F01E8B"/>
    <w:rsid w:val="00F06787"/>
    <w:rsid w:val="00F15AA3"/>
    <w:rsid w:val="00F36907"/>
    <w:rsid w:val="00F82829"/>
    <w:rsid w:val="00FA394D"/>
    <w:rsid w:val="00FB17A4"/>
    <w:rsid w:val="00FB406D"/>
    <w:rsid w:val="00FC48E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58F23"/>
  <w15:docId w15:val="{2B38D281-CAE8-4C2C-B180-C045436F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825"/>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47F05"/>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17F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D17F4"/>
  </w:style>
  <w:style w:type="paragraph" w:styleId="Piedepgina">
    <w:name w:val="footer"/>
    <w:basedOn w:val="Normal"/>
    <w:link w:val="PiedepginaCar"/>
    <w:uiPriority w:val="99"/>
    <w:unhideWhenUsed/>
    <w:rsid w:val="00ED17F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D17F4"/>
  </w:style>
  <w:style w:type="paragraph" w:styleId="Textodeglobo">
    <w:name w:val="Balloon Text"/>
    <w:basedOn w:val="Normal"/>
    <w:link w:val="TextodegloboCar"/>
    <w:uiPriority w:val="99"/>
    <w:semiHidden/>
    <w:unhideWhenUsed/>
    <w:rsid w:val="00ED17F4"/>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7F4"/>
    <w:rPr>
      <w:rFonts w:ascii="Tahoma" w:hAnsi="Tahoma" w:cs="Tahoma"/>
      <w:sz w:val="16"/>
      <w:szCs w:val="16"/>
    </w:rPr>
  </w:style>
  <w:style w:type="paragraph" w:styleId="Sinespaciado">
    <w:name w:val="No Spacing"/>
    <w:uiPriority w:val="1"/>
    <w:qFormat/>
    <w:rsid w:val="00666E1D"/>
    <w:rPr>
      <w:rFonts w:ascii="Calibri" w:eastAsia="Calibri" w:hAnsi="Calibri" w:cs="Times New Roman"/>
    </w:rPr>
  </w:style>
  <w:style w:type="character" w:styleId="Textoennegrita">
    <w:name w:val="Strong"/>
    <w:basedOn w:val="Fuentedeprrafopredeter"/>
    <w:uiPriority w:val="22"/>
    <w:qFormat/>
    <w:rsid w:val="00666E1D"/>
    <w:rPr>
      <w:b/>
      <w:bCs/>
    </w:rPr>
  </w:style>
  <w:style w:type="character" w:styleId="Hipervnculo">
    <w:name w:val="Hyperlink"/>
    <w:basedOn w:val="Fuentedeprrafopredeter"/>
    <w:uiPriority w:val="99"/>
    <w:unhideWhenUsed/>
    <w:rsid w:val="00647207"/>
    <w:rPr>
      <w:color w:val="0000FF" w:themeColor="hyperlink"/>
      <w:u w:val="single"/>
    </w:rPr>
  </w:style>
  <w:style w:type="character" w:customStyle="1" w:styleId="Ttulo1Car">
    <w:name w:val="Título 1 Car"/>
    <w:basedOn w:val="Fuentedeprrafopredeter"/>
    <w:link w:val="Ttulo1"/>
    <w:uiPriority w:val="9"/>
    <w:rsid w:val="00D47F05"/>
    <w:rPr>
      <w:rFonts w:asciiTheme="majorHAnsi" w:eastAsiaTheme="majorEastAsia" w:hAnsiTheme="majorHAnsi" w:cstheme="majorBidi"/>
      <w:color w:val="365F91" w:themeColor="accent1" w:themeShade="BF"/>
      <w:sz w:val="32"/>
      <w:szCs w:val="32"/>
    </w:rPr>
  </w:style>
  <w:style w:type="table" w:styleId="Tablaconcuadrcula">
    <w:name w:val="Table Grid"/>
    <w:basedOn w:val="Tablanormal"/>
    <w:uiPriority w:val="39"/>
    <w:rsid w:val="00D4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47F05"/>
    <w:rPr>
      <w:sz w:val="16"/>
      <w:szCs w:val="16"/>
    </w:rPr>
  </w:style>
  <w:style w:type="paragraph" w:styleId="Textocomentario">
    <w:name w:val="annotation text"/>
    <w:basedOn w:val="Normal"/>
    <w:link w:val="TextocomentarioCar"/>
    <w:uiPriority w:val="99"/>
    <w:semiHidden/>
    <w:unhideWhenUsed/>
    <w:rsid w:val="00D47F05"/>
    <w:pPr>
      <w:spacing w:after="160"/>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semiHidden/>
    <w:rsid w:val="00D47F05"/>
    <w:rPr>
      <w:sz w:val="20"/>
      <w:szCs w:val="20"/>
    </w:rPr>
  </w:style>
  <w:style w:type="paragraph" w:styleId="Textonotaalfinal">
    <w:name w:val="endnote text"/>
    <w:basedOn w:val="Normal"/>
    <w:link w:val="TextonotaalfinalCar"/>
    <w:uiPriority w:val="99"/>
    <w:semiHidden/>
    <w:unhideWhenUsed/>
    <w:rsid w:val="00DE3A87"/>
    <w:rPr>
      <w:sz w:val="20"/>
      <w:szCs w:val="20"/>
    </w:rPr>
  </w:style>
  <w:style w:type="character" w:customStyle="1" w:styleId="TextonotaalfinalCar">
    <w:name w:val="Texto nota al final Car"/>
    <w:basedOn w:val="Fuentedeprrafopredeter"/>
    <w:link w:val="Textonotaalfinal"/>
    <w:uiPriority w:val="99"/>
    <w:semiHidden/>
    <w:rsid w:val="00DE3A87"/>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DE3A87"/>
    <w:rPr>
      <w:vertAlign w:val="superscript"/>
    </w:rPr>
  </w:style>
  <w:style w:type="paragraph" w:styleId="NormalWeb">
    <w:name w:val="Normal (Web)"/>
    <w:basedOn w:val="Normal"/>
    <w:uiPriority w:val="99"/>
    <w:semiHidden/>
    <w:unhideWhenUsed/>
    <w:rsid w:val="00CE4C31"/>
    <w:pPr>
      <w:spacing w:before="100" w:beforeAutospacing="1" w:after="100" w:afterAutospacing="1"/>
    </w:pPr>
    <w:rPr>
      <w:rFonts w:eastAsiaTheme="minorEastAsia"/>
      <w:lang w:val="es-MX" w:eastAsia="es-MX"/>
    </w:rPr>
  </w:style>
  <w:style w:type="paragraph" w:styleId="Textonotapie">
    <w:name w:val="footnote text"/>
    <w:basedOn w:val="Normal"/>
    <w:link w:val="TextonotapieCar"/>
    <w:uiPriority w:val="99"/>
    <w:semiHidden/>
    <w:unhideWhenUsed/>
    <w:rsid w:val="005117FE"/>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5117FE"/>
    <w:rPr>
      <w:sz w:val="20"/>
      <w:szCs w:val="20"/>
    </w:rPr>
  </w:style>
  <w:style w:type="character" w:styleId="Refdenotaalpie">
    <w:name w:val="footnote reference"/>
    <w:basedOn w:val="Fuentedeprrafopredeter"/>
    <w:uiPriority w:val="99"/>
    <w:semiHidden/>
    <w:unhideWhenUsed/>
    <w:rsid w:val="005117FE"/>
    <w:rPr>
      <w:vertAlign w:val="superscript"/>
    </w:rPr>
  </w:style>
  <w:style w:type="paragraph" w:styleId="Prrafodelista">
    <w:name w:val="List Paragraph"/>
    <w:basedOn w:val="Normal"/>
    <w:uiPriority w:val="34"/>
    <w:qFormat/>
    <w:rsid w:val="00424D40"/>
    <w:pPr>
      <w:ind w:left="720"/>
      <w:contextualSpacing/>
    </w:pPr>
  </w:style>
  <w:style w:type="paragraph" w:styleId="Asuntodelcomentario">
    <w:name w:val="annotation subject"/>
    <w:basedOn w:val="Textocomentario"/>
    <w:next w:val="Textocomentario"/>
    <w:link w:val="AsuntodelcomentarioCar"/>
    <w:uiPriority w:val="99"/>
    <w:semiHidden/>
    <w:unhideWhenUsed/>
    <w:rsid w:val="00BE50BC"/>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BE50BC"/>
    <w:rPr>
      <w:rFonts w:ascii="Times New Roman" w:eastAsia="Times New Roman" w:hAnsi="Times New Roman" w:cs="Times New Roman"/>
      <w:b/>
      <w:bCs/>
      <w:sz w:val="20"/>
      <w:szCs w:val="20"/>
      <w:lang w:val="es-ES" w:eastAsia="es-ES"/>
    </w:rPr>
  </w:style>
  <w:style w:type="paragraph" w:customStyle="1" w:styleId="Default">
    <w:name w:val="Default"/>
    <w:rsid w:val="00B44E58"/>
    <w:pPr>
      <w:autoSpaceDE w:val="0"/>
      <w:autoSpaceDN w:val="0"/>
      <w:adjustRightInd w:val="0"/>
    </w:pPr>
    <w:rPr>
      <w:rFonts w:ascii="Calibri" w:hAnsi="Calibri" w:cs="Calibri"/>
      <w:color w:val="000000"/>
      <w:sz w:val="24"/>
      <w:szCs w:val="24"/>
    </w:rPr>
  </w:style>
  <w:style w:type="paragraph" w:styleId="Revisin">
    <w:name w:val="Revision"/>
    <w:hidden/>
    <w:uiPriority w:val="99"/>
    <w:semiHidden/>
    <w:rsid w:val="00804646"/>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F01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4834">
      <w:bodyDiv w:val="1"/>
      <w:marLeft w:val="0"/>
      <w:marRight w:val="0"/>
      <w:marTop w:val="0"/>
      <w:marBottom w:val="0"/>
      <w:divBdr>
        <w:top w:val="none" w:sz="0" w:space="0" w:color="auto"/>
        <w:left w:val="none" w:sz="0" w:space="0" w:color="auto"/>
        <w:bottom w:val="none" w:sz="0" w:space="0" w:color="auto"/>
        <w:right w:val="none" w:sz="0" w:space="0" w:color="auto"/>
      </w:divBdr>
      <w:divsChild>
        <w:div w:id="97260654">
          <w:marLeft w:val="547"/>
          <w:marRight w:val="0"/>
          <w:marTop w:val="0"/>
          <w:marBottom w:val="0"/>
          <w:divBdr>
            <w:top w:val="none" w:sz="0" w:space="0" w:color="auto"/>
            <w:left w:val="none" w:sz="0" w:space="0" w:color="auto"/>
            <w:bottom w:val="none" w:sz="0" w:space="0" w:color="auto"/>
            <w:right w:val="none" w:sz="0" w:space="0" w:color="auto"/>
          </w:divBdr>
        </w:div>
        <w:div w:id="711729981">
          <w:marLeft w:val="547"/>
          <w:marRight w:val="0"/>
          <w:marTop w:val="0"/>
          <w:marBottom w:val="0"/>
          <w:divBdr>
            <w:top w:val="none" w:sz="0" w:space="0" w:color="auto"/>
            <w:left w:val="none" w:sz="0" w:space="0" w:color="auto"/>
            <w:bottom w:val="none" w:sz="0" w:space="0" w:color="auto"/>
            <w:right w:val="none" w:sz="0" w:space="0" w:color="auto"/>
          </w:divBdr>
        </w:div>
        <w:div w:id="1336612947">
          <w:marLeft w:val="547"/>
          <w:marRight w:val="0"/>
          <w:marTop w:val="0"/>
          <w:marBottom w:val="0"/>
          <w:divBdr>
            <w:top w:val="none" w:sz="0" w:space="0" w:color="auto"/>
            <w:left w:val="none" w:sz="0" w:space="0" w:color="auto"/>
            <w:bottom w:val="none" w:sz="0" w:space="0" w:color="auto"/>
            <w:right w:val="none" w:sz="0" w:space="0" w:color="auto"/>
          </w:divBdr>
        </w:div>
        <w:div w:id="515995937">
          <w:marLeft w:val="547"/>
          <w:marRight w:val="0"/>
          <w:marTop w:val="0"/>
          <w:marBottom w:val="0"/>
          <w:divBdr>
            <w:top w:val="none" w:sz="0" w:space="0" w:color="auto"/>
            <w:left w:val="none" w:sz="0" w:space="0" w:color="auto"/>
            <w:bottom w:val="none" w:sz="0" w:space="0" w:color="auto"/>
            <w:right w:val="none" w:sz="0" w:space="0" w:color="auto"/>
          </w:divBdr>
        </w:div>
        <w:div w:id="421613253">
          <w:marLeft w:val="547"/>
          <w:marRight w:val="0"/>
          <w:marTop w:val="0"/>
          <w:marBottom w:val="0"/>
          <w:divBdr>
            <w:top w:val="none" w:sz="0" w:space="0" w:color="auto"/>
            <w:left w:val="none" w:sz="0" w:space="0" w:color="auto"/>
            <w:bottom w:val="none" w:sz="0" w:space="0" w:color="auto"/>
            <w:right w:val="none" w:sz="0" w:space="0" w:color="auto"/>
          </w:divBdr>
        </w:div>
      </w:divsChild>
    </w:div>
    <w:div w:id="321616279">
      <w:bodyDiv w:val="1"/>
      <w:marLeft w:val="0"/>
      <w:marRight w:val="0"/>
      <w:marTop w:val="0"/>
      <w:marBottom w:val="0"/>
      <w:divBdr>
        <w:top w:val="none" w:sz="0" w:space="0" w:color="auto"/>
        <w:left w:val="none" w:sz="0" w:space="0" w:color="auto"/>
        <w:bottom w:val="none" w:sz="0" w:space="0" w:color="auto"/>
        <w:right w:val="none" w:sz="0" w:space="0" w:color="auto"/>
      </w:divBdr>
    </w:div>
    <w:div w:id="1134523988">
      <w:bodyDiv w:val="1"/>
      <w:marLeft w:val="0"/>
      <w:marRight w:val="0"/>
      <w:marTop w:val="0"/>
      <w:marBottom w:val="0"/>
      <w:divBdr>
        <w:top w:val="none" w:sz="0" w:space="0" w:color="auto"/>
        <w:left w:val="none" w:sz="0" w:space="0" w:color="auto"/>
        <w:bottom w:val="none" w:sz="0" w:space="0" w:color="auto"/>
        <w:right w:val="none" w:sz="0" w:space="0" w:color="auto"/>
      </w:divBdr>
    </w:div>
    <w:div w:id="18614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22688667765305/videos/1647563488909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JNcjnPCCTpw"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ensanut.insp.mx/encuestas/ensanut2018/doctos/informes/ensanut_2018_informe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C84CC-547A-8C42-946D-F7B425F5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1341</Words>
  <Characters>7377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Denise Rojas</cp:lastModifiedBy>
  <cp:revision>3</cp:revision>
  <cp:lastPrinted>2013-02-07T17:11:00Z</cp:lastPrinted>
  <dcterms:created xsi:type="dcterms:W3CDTF">2021-04-29T17:07:00Z</dcterms:created>
  <dcterms:modified xsi:type="dcterms:W3CDTF">2021-04-29T17:14:00Z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a2ebd2a2-0cdf-31b0-aae9-35947b5d82ae</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